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08AA5" w14:textId="77777777" w:rsidR="00E2223C" w:rsidRPr="00513510" w:rsidRDefault="003B1018">
      <w:pPr>
        <w:pStyle w:val="Ttulo3"/>
        <w:jc w:val="center"/>
        <w:rPr>
          <w:rFonts w:ascii="Barlow" w:eastAsia="Times New Roman" w:hAnsi="Barlow"/>
          <w:sz w:val="24"/>
          <w:szCs w:val="24"/>
        </w:rPr>
      </w:pPr>
      <w:r w:rsidRPr="00513510">
        <w:rPr>
          <w:rFonts w:ascii="Barlow" w:eastAsia="Times New Roman" w:hAnsi="Barlow"/>
          <w:sz w:val="24"/>
          <w:szCs w:val="24"/>
        </w:rPr>
        <w:t>DOCUMENTO DE OPINIÓN</w:t>
      </w:r>
    </w:p>
    <w:p w14:paraId="78D3CD4E" w14:textId="77777777" w:rsidR="00E2223C" w:rsidRPr="00513510" w:rsidRDefault="003B1018" w:rsidP="00045B3E">
      <w:pPr>
        <w:pStyle w:val="Ttulo3"/>
        <w:jc w:val="center"/>
        <w:rPr>
          <w:rFonts w:ascii="Barlow" w:eastAsia="Times New Roman" w:hAnsi="Barlow"/>
          <w:sz w:val="24"/>
          <w:szCs w:val="24"/>
        </w:rPr>
      </w:pPr>
      <w:r w:rsidRPr="00513510">
        <w:rPr>
          <w:rFonts w:ascii="Barlow" w:eastAsia="Times New Roman" w:hAnsi="Barlow"/>
          <w:sz w:val="24"/>
          <w:szCs w:val="24"/>
        </w:rPr>
        <w:t>(POSICIÓN INSTITUCIONAL)</w:t>
      </w:r>
    </w:p>
    <w:p w14:paraId="4BD8D093" w14:textId="0B06DF8C" w:rsidR="001F17A5" w:rsidRPr="00513510" w:rsidRDefault="00812DE9" w:rsidP="00B32A4F">
      <w:pPr>
        <w:pStyle w:val="Ttulo3"/>
        <w:jc w:val="center"/>
        <w:rPr>
          <w:rFonts w:ascii="Barlow" w:eastAsia="Times New Roman" w:hAnsi="Barlow"/>
          <w:sz w:val="24"/>
          <w:szCs w:val="24"/>
        </w:rPr>
      </w:pPr>
      <w:r>
        <w:rPr>
          <w:rFonts w:ascii="Barlow" w:eastAsia="Times New Roman" w:hAnsi="Barlow"/>
          <w:sz w:val="24"/>
          <w:szCs w:val="24"/>
        </w:rPr>
        <w:t>Evaluación</w:t>
      </w:r>
      <w:r w:rsidR="00DA6BEA">
        <w:rPr>
          <w:rFonts w:ascii="Barlow" w:eastAsia="Times New Roman" w:hAnsi="Barlow"/>
          <w:sz w:val="24"/>
          <w:szCs w:val="24"/>
        </w:rPr>
        <w:t xml:space="preserve"> Específica del desempeño</w:t>
      </w:r>
    </w:p>
    <w:p w14:paraId="57C66840" w14:textId="5BFEF947" w:rsidR="00E2223C" w:rsidRPr="00513510" w:rsidRDefault="004C18AB">
      <w:pPr>
        <w:pStyle w:val="Ttulo3"/>
        <w:jc w:val="center"/>
        <w:rPr>
          <w:rFonts w:ascii="Barlow" w:eastAsia="Times New Roman" w:hAnsi="Barlow"/>
          <w:sz w:val="24"/>
          <w:szCs w:val="24"/>
        </w:rPr>
      </w:pPr>
      <w:r w:rsidRPr="00513510">
        <w:rPr>
          <w:rFonts w:ascii="Barlow" w:eastAsia="Times New Roman" w:hAnsi="Barlow"/>
          <w:sz w:val="24"/>
          <w:szCs w:val="24"/>
        </w:rPr>
        <w:t xml:space="preserve">Ejercicio Fiscal </w:t>
      </w:r>
      <w:r w:rsidR="00DA6BEA">
        <w:rPr>
          <w:rFonts w:ascii="Barlow" w:eastAsia="Times New Roman" w:hAnsi="Barlow"/>
          <w:sz w:val="24"/>
          <w:szCs w:val="24"/>
        </w:rPr>
        <w:t>2020</w:t>
      </w:r>
    </w:p>
    <w:p w14:paraId="719A38B6" w14:textId="77777777" w:rsidR="00E2223C" w:rsidRPr="00513510" w:rsidRDefault="003B1018">
      <w:pPr>
        <w:pStyle w:val="Ttulo3"/>
        <w:rPr>
          <w:rFonts w:ascii="Barlow" w:eastAsia="Times New Roman" w:hAnsi="Barlow"/>
          <w:sz w:val="23"/>
          <w:szCs w:val="23"/>
        </w:rPr>
      </w:pPr>
      <w:r w:rsidRPr="00513510">
        <w:rPr>
          <w:rFonts w:ascii="Barlow" w:eastAsia="Times New Roman" w:hAnsi="Barlow"/>
          <w:sz w:val="23"/>
          <w:szCs w:val="23"/>
        </w:rPr>
        <w:t>COMENTARIOS GENERALES</w:t>
      </w:r>
    </w:p>
    <w:p w14:paraId="00FC3976" w14:textId="77777777" w:rsidR="00CA1E47" w:rsidRDefault="00CA1E47" w:rsidP="00CA1E47">
      <w:pPr>
        <w:rPr>
          <w:rFonts w:eastAsia="Times New Roman"/>
        </w:rPr>
      </w:pPr>
    </w:p>
    <w:p w14:paraId="1C449FE9" w14:textId="4AD8F8B0" w:rsidR="0045361F" w:rsidRPr="00513510" w:rsidRDefault="005F42D0" w:rsidP="00CA1E47">
      <w:pPr>
        <w:rPr>
          <w:rFonts w:ascii="Barlow" w:eastAsia="Times New Roman" w:hAnsi="Barlow"/>
          <w:b/>
          <w:sz w:val="23"/>
          <w:szCs w:val="23"/>
        </w:rPr>
      </w:pPr>
      <w:r w:rsidRPr="00513510">
        <w:rPr>
          <w:rFonts w:ascii="Barlow" w:eastAsia="Times New Roman" w:hAnsi="Barlow"/>
          <w:sz w:val="23"/>
          <w:szCs w:val="23"/>
        </w:rPr>
        <w:t>Como resultado de la e</w:t>
      </w:r>
      <w:r w:rsidR="00EB1148" w:rsidRPr="00513510">
        <w:rPr>
          <w:rFonts w:ascii="Barlow" w:eastAsia="Times New Roman" w:hAnsi="Barlow"/>
          <w:sz w:val="23"/>
          <w:szCs w:val="23"/>
        </w:rPr>
        <w:t>valuación</w:t>
      </w:r>
      <w:r w:rsidR="000433E3">
        <w:rPr>
          <w:rFonts w:ascii="Barlow" w:eastAsia="Times New Roman" w:hAnsi="Barlow"/>
          <w:sz w:val="23"/>
          <w:szCs w:val="23"/>
        </w:rPr>
        <w:t xml:space="preserve"> específica de desempeño 2020 al fondo Ramo 33 Fondo de a</w:t>
      </w:r>
      <w:r w:rsidR="0031791B">
        <w:rPr>
          <w:rFonts w:ascii="Barlow" w:eastAsia="Times New Roman" w:hAnsi="Barlow"/>
          <w:sz w:val="23"/>
          <w:szCs w:val="23"/>
        </w:rPr>
        <w:t>portaciones múltiples FAM Asistencia Social</w:t>
      </w:r>
      <w:r w:rsidR="00EB1148" w:rsidRPr="00513510">
        <w:rPr>
          <w:rFonts w:ascii="Barlow" w:eastAsia="Times New Roman" w:hAnsi="Barlow"/>
          <w:sz w:val="23"/>
          <w:szCs w:val="23"/>
        </w:rPr>
        <w:t xml:space="preserve">, se emitieron </w:t>
      </w:r>
      <w:r w:rsidR="00812DE9">
        <w:rPr>
          <w:rFonts w:ascii="Barlow" w:eastAsia="Times New Roman" w:hAnsi="Barlow"/>
          <w:sz w:val="23"/>
          <w:szCs w:val="23"/>
        </w:rPr>
        <w:t>34</w:t>
      </w:r>
      <w:r w:rsidR="00EB1148" w:rsidRPr="00513510">
        <w:rPr>
          <w:rFonts w:ascii="Barlow" w:eastAsia="Times New Roman" w:hAnsi="Barlow"/>
          <w:sz w:val="23"/>
          <w:szCs w:val="23"/>
        </w:rPr>
        <w:t xml:space="preserve"> observaciones</w:t>
      </w:r>
      <w:r w:rsidR="009F284E" w:rsidRPr="00513510">
        <w:rPr>
          <w:rFonts w:ascii="Barlow" w:eastAsia="Times New Roman" w:hAnsi="Barlow"/>
          <w:sz w:val="23"/>
          <w:szCs w:val="23"/>
        </w:rPr>
        <w:t xml:space="preserve">, de las cuales </w:t>
      </w:r>
      <w:r w:rsidR="00812DE9">
        <w:rPr>
          <w:rFonts w:ascii="Barlow" w:eastAsia="Times New Roman" w:hAnsi="Barlow"/>
          <w:sz w:val="23"/>
          <w:szCs w:val="23"/>
        </w:rPr>
        <w:t>22</w:t>
      </w:r>
      <w:r w:rsidR="00EB1148" w:rsidRPr="00513510">
        <w:rPr>
          <w:rFonts w:ascii="Barlow" w:eastAsia="Times New Roman" w:hAnsi="Barlow"/>
          <w:sz w:val="23"/>
          <w:szCs w:val="23"/>
        </w:rPr>
        <w:t xml:space="preserve"> </w:t>
      </w:r>
      <w:r w:rsidR="009F284E" w:rsidRPr="00513510">
        <w:rPr>
          <w:rFonts w:ascii="Barlow" w:eastAsia="Times New Roman" w:hAnsi="Barlow"/>
          <w:sz w:val="23"/>
          <w:szCs w:val="23"/>
        </w:rPr>
        <w:t xml:space="preserve">tienen </w:t>
      </w:r>
      <w:r w:rsidR="00CA1E47">
        <w:rPr>
          <w:rFonts w:ascii="Barlow" w:eastAsia="Times New Roman" w:hAnsi="Barlow"/>
          <w:sz w:val="23"/>
          <w:szCs w:val="23"/>
        </w:rPr>
        <w:t xml:space="preserve">al menos una recomendación asociada y en este sentido se considera adecuadas </w:t>
      </w:r>
      <w:r w:rsidR="0031791B">
        <w:rPr>
          <w:rFonts w:ascii="Barlow" w:eastAsia="Times New Roman" w:hAnsi="Barlow"/>
          <w:sz w:val="23"/>
          <w:szCs w:val="23"/>
        </w:rPr>
        <w:t>10</w:t>
      </w:r>
      <w:r w:rsidR="00B32A4F">
        <w:rPr>
          <w:rFonts w:ascii="Barlow" w:eastAsia="Times New Roman" w:hAnsi="Barlow"/>
          <w:sz w:val="23"/>
          <w:szCs w:val="23"/>
        </w:rPr>
        <w:t xml:space="preserve"> </w:t>
      </w:r>
      <w:r w:rsidRPr="00513510">
        <w:rPr>
          <w:rFonts w:ascii="Barlow" w:eastAsia="Times New Roman" w:hAnsi="Barlow"/>
          <w:sz w:val="23"/>
          <w:szCs w:val="23"/>
        </w:rPr>
        <w:t>recomendaciones</w:t>
      </w:r>
      <w:r w:rsidR="00CA1E47">
        <w:rPr>
          <w:rFonts w:ascii="Barlow" w:eastAsia="Times New Roman" w:hAnsi="Barlow"/>
          <w:sz w:val="23"/>
          <w:szCs w:val="23"/>
        </w:rPr>
        <w:t>, las cuales se detallan a continuación:</w:t>
      </w:r>
    </w:p>
    <w:p w14:paraId="0FB76086" w14:textId="77777777" w:rsidR="005F42D0" w:rsidRDefault="005F42D0" w:rsidP="00CA1E47">
      <w:pPr>
        <w:rPr>
          <w:rFonts w:eastAsia="Times New Roman"/>
        </w:rPr>
      </w:pPr>
    </w:p>
    <w:p w14:paraId="53913F02" w14:textId="77777777" w:rsidR="00CA1E47" w:rsidRDefault="00CA1E47" w:rsidP="00CA1E47">
      <w:pPr>
        <w:rPr>
          <w:rFonts w:eastAsia="Times New Roman"/>
        </w:rPr>
      </w:pPr>
    </w:p>
    <w:p w14:paraId="062B07EC" w14:textId="77777777" w:rsidR="00CA1E47" w:rsidRPr="00513510" w:rsidRDefault="00CA1E47" w:rsidP="00CA1E47">
      <w:pPr>
        <w:rPr>
          <w:rFonts w:ascii="Barlow" w:eastAsia="Times New Roman" w:hAnsi="Barlow"/>
          <w:b/>
          <w:sz w:val="23"/>
          <w:szCs w:val="23"/>
        </w:rPr>
        <w:sectPr w:rsidR="00CA1E47" w:rsidRPr="00513510" w:rsidSect="00B32A4F">
          <w:headerReference w:type="default" r:id="rId8"/>
          <w:footerReference w:type="default" r:id="rId9"/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08FEB4F9" w14:textId="60582FE8" w:rsidR="00E2223C" w:rsidRDefault="003B1018">
      <w:pPr>
        <w:pStyle w:val="Ttulo3"/>
        <w:rPr>
          <w:rFonts w:ascii="Barlow" w:eastAsia="Times New Roman" w:hAnsi="Barlow"/>
          <w:sz w:val="23"/>
          <w:szCs w:val="23"/>
        </w:rPr>
      </w:pPr>
      <w:r w:rsidRPr="00513510">
        <w:rPr>
          <w:rFonts w:ascii="Barlow" w:eastAsia="Times New Roman" w:hAnsi="Barlow"/>
          <w:sz w:val="23"/>
          <w:szCs w:val="23"/>
        </w:rPr>
        <w:lastRenderedPageBreak/>
        <w:t>COMENTARIOS ESPECÍFICOS</w:t>
      </w:r>
    </w:p>
    <w:tbl>
      <w:tblPr>
        <w:tblStyle w:val="Tablaconcuadrcula4-nfasis11"/>
        <w:tblW w:w="4973" w:type="pct"/>
        <w:tblLook w:val="0620" w:firstRow="1" w:lastRow="0" w:firstColumn="0" w:lastColumn="0" w:noHBand="1" w:noVBand="1"/>
      </w:tblPr>
      <w:tblGrid>
        <w:gridCol w:w="1272"/>
        <w:gridCol w:w="1151"/>
        <w:gridCol w:w="1485"/>
        <w:gridCol w:w="2107"/>
        <w:gridCol w:w="757"/>
        <w:gridCol w:w="757"/>
        <w:gridCol w:w="757"/>
        <w:gridCol w:w="757"/>
        <w:gridCol w:w="1144"/>
        <w:gridCol w:w="2737"/>
      </w:tblGrid>
      <w:tr w:rsidR="000B562D" w:rsidRPr="00513510" w14:paraId="696A590C" w14:textId="77777777" w:rsidTr="000B5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484" w:type="pct"/>
            <w:vAlign w:val="center"/>
            <w:hideMark/>
          </w:tcPr>
          <w:p w14:paraId="1DD42364" w14:textId="77777777" w:rsidR="00B32A4F" w:rsidRPr="00513510" w:rsidRDefault="00B32A4F" w:rsidP="00CD7B55">
            <w:pPr>
              <w:jc w:val="center"/>
              <w:rPr>
                <w:rFonts w:ascii="Barlow" w:eastAsia="Times New Roman" w:hAnsi="Barlow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Barlow" w:eastAsia="Times New Roman" w:hAnsi="Barlow" w:cs="Arial"/>
                <w:color w:val="auto"/>
                <w:sz w:val="16"/>
                <w:szCs w:val="16"/>
              </w:rPr>
              <w:t>Apartado de la Evaluación</w:t>
            </w:r>
          </w:p>
        </w:tc>
        <w:tc>
          <w:tcPr>
            <w:tcW w:w="438" w:type="pct"/>
            <w:vAlign w:val="center"/>
            <w:hideMark/>
          </w:tcPr>
          <w:p w14:paraId="6E5E7BC8" w14:textId="77777777" w:rsidR="00B32A4F" w:rsidRDefault="00B32A4F" w:rsidP="00CD7B55">
            <w:pPr>
              <w:jc w:val="center"/>
              <w:rPr>
                <w:rFonts w:ascii="Barlow" w:eastAsia="Times New Roman" w:hAnsi="Barlow" w:cs="Arial"/>
                <w:color w:val="auto"/>
                <w:sz w:val="16"/>
                <w:szCs w:val="16"/>
              </w:rPr>
            </w:pPr>
            <w:r w:rsidRPr="00513510">
              <w:rPr>
                <w:rFonts w:ascii="Barlow" w:eastAsia="Times New Roman" w:hAnsi="Barlow" w:cs="Arial"/>
                <w:color w:val="auto"/>
                <w:sz w:val="16"/>
                <w:szCs w:val="16"/>
              </w:rPr>
              <w:t>Tipo</w:t>
            </w:r>
          </w:p>
          <w:p w14:paraId="39BF9A4C" w14:textId="77777777" w:rsidR="00B32A4F" w:rsidRPr="00513510" w:rsidRDefault="00B32A4F" w:rsidP="00CD7B55">
            <w:pPr>
              <w:jc w:val="center"/>
              <w:rPr>
                <w:rFonts w:ascii="Barlow" w:eastAsia="Times New Roman" w:hAnsi="Barlow" w:cs="Arial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Barlow" w:eastAsia="Times New Roman" w:hAnsi="Barlow" w:cs="Arial"/>
                <w:color w:val="auto"/>
                <w:sz w:val="16"/>
                <w:szCs w:val="16"/>
              </w:rPr>
              <w:t>(Fortaleza, Debilidad, Amenaza, Oportunidad)</w:t>
            </w:r>
          </w:p>
        </w:tc>
        <w:tc>
          <w:tcPr>
            <w:tcW w:w="589" w:type="pct"/>
            <w:vAlign w:val="center"/>
            <w:hideMark/>
          </w:tcPr>
          <w:p w14:paraId="068F2C01" w14:textId="77777777" w:rsidR="00B32A4F" w:rsidRPr="00513510" w:rsidRDefault="00B32A4F" w:rsidP="00CD7B55">
            <w:pPr>
              <w:jc w:val="center"/>
              <w:rPr>
                <w:rFonts w:ascii="Barlow" w:eastAsia="Times New Roman" w:hAnsi="Barlow" w:cs="Arial"/>
                <w:b w:val="0"/>
                <w:bCs w:val="0"/>
                <w:color w:val="auto"/>
                <w:sz w:val="16"/>
                <w:szCs w:val="16"/>
              </w:rPr>
            </w:pPr>
            <w:r w:rsidRPr="00513510">
              <w:rPr>
                <w:rFonts w:ascii="Barlow" w:eastAsia="Times New Roman" w:hAnsi="Barlow" w:cs="Arial"/>
                <w:color w:val="auto"/>
                <w:sz w:val="16"/>
                <w:szCs w:val="16"/>
              </w:rPr>
              <w:t>Conclusión</w:t>
            </w:r>
          </w:p>
        </w:tc>
        <w:tc>
          <w:tcPr>
            <w:tcW w:w="829" w:type="pct"/>
            <w:vAlign w:val="center"/>
            <w:hideMark/>
          </w:tcPr>
          <w:p w14:paraId="3D97E666" w14:textId="77777777" w:rsidR="00B32A4F" w:rsidRPr="00513510" w:rsidRDefault="00B32A4F" w:rsidP="00CD7B55">
            <w:pPr>
              <w:jc w:val="center"/>
              <w:rPr>
                <w:rFonts w:ascii="Barlow" w:eastAsia="Times New Roman" w:hAnsi="Barlow" w:cs="Arial"/>
                <w:b w:val="0"/>
                <w:bCs w:val="0"/>
                <w:color w:val="auto"/>
                <w:sz w:val="16"/>
                <w:szCs w:val="16"/>
              </w:rPr>
            </w:pPr>
            <w:r w:rsidRPr="00513510">
              <w:rPr>
                <w:rFonts w:ascii="Barlow" w:eastAsia="Times New Roman" w:hAnsi="Barlow" w:cs="Arial"/>
                <w:color w:val="auto"/>
                <w:sz w:val="16"/>
                <w:szCs w:val="16"/>
              </w:rPr>
              <w:t>Recomendación</w:t>
            </w:r>
          </w:p>
        </w:tc>
        <w:tc>
          <w:tcPr>
            <w:tcW w:w="288" w:type="pct"/>
          </w:tcPr>
          <w:p w14:paraId="076EAE33" w14:textId="77777777" w:rsidR="00B32A4F" w:rsidRDefault="00B32A4F" w:rsidP="00CD7B55">
            <w:pPr>
              <w:jc w:val="center"/>
              <w:rPr>
                <w:rFonts w:ascii="Barlow" w:eastAsia="Times New Roman" w:hAnsi="Barlow" w:cs="Arial"/>
                <w:sz w:val="16"/>
                <w:szCs w:val="16"/>
              </w:rPr>
            </w:pPr>
            <w:r>
              <w:rPr>
                <w:rFonts w:ascii="Barlow" w:eastAsia="Times New Roman" w:hAnsi="Barlow" w:cs="Arial"/>
                <w:sz w:val="16"/>
                <w:szCs w:val="16"/>
              </w:rPr>
              <w:t xml:space="preserve">Criterio 1 </w:t>
            </w:r>
            <w:r>
              <w:rPr>
                <w:rStyle w:val="Refdenotaalpie"/>
                <w:rFonts w:ascii="Barlow" w:eastAsia="Times New Roman" w:hAnsi="Barlow" w:cs="Arial"/>
                <w:sz w:val="16"/>
                <w:szCs w:val="16"/>
              </w:rPr>
              <w:footnoteReference w:id="1"/>
            </w:r>
            <w:r>
              <w:rPr>
                <w:rFonts w:ascii="Barlow" w:eastAsia="Times New Roman" w:hAnsi="Barlow" w:cs="Arial"/>
                <w:sz w:val="16"/>
                <w:szCs w:val="16"/>
              </w:rPr>
              <w:t xml:space="preserve"> (Si/No)</w:t>
            </w:r>
          </w:p>
        </w:tc>
        <w:tc>
          <w:tcPr>
            <w:tcW w:w="288" w:type="pct"/>
          </w:tcPr>
          <w:p w14:paraId="3C1D9785" w14:textId="77777777" w:rsidR="00B32A4F" w:rsidRDefault="00B32A4F" w:rsidP="00CD7B55">
            <w:pPr>
              <w:jc w:val="center"/>
              <w:rPr>
                <w:rFonts w:ascii="Barlow" w:eastAsia="Times New Roman" w:hAnsi="Barlow" w:cs="Arial"/>
                <w:sz w:val="16"/>
                <w:szCs w:val="16"/>
              </w:rPr>
            </w:pPr>
            <w:r>
              <w:rPr>
                <w:rFonts w:ascii="Barlow" w:eastAsia="Times New Roman" w:hAnsi="Barlow" w:cs="Arial"/>
                <w:sz w:val="16"/>
                <w:szCs w:val="16"/>
              </w:rPr>
              <w:t xml:space="preserve">Criterio 2 </w:t>
            </w:r>
            <w:r>
              <w:rPr>
                <w:rStyle w:val="Refdenotaalpie"/>
                <w:rFonts w:ascii="Barlow" w:eastAsia="Times New Roman" w:hAnsi="Barlow" w:cs="Arial"/>
                <w:sz w:val="16"/>
                <w:szCs w:val="16"/>
              </w:rPr>
              <w:footnoteReference w:id="2"/>
            </w:r>
            <w:r>
              <w:rPr>
                <w:rFonts w:ascii="Barlow" w:eastAsia="Times New Roman" w:hAnsi="Barlow" w:cs="Arial"/>
                <w:sz w:val="16"/>
                <w:szCs w:val="16"/>
              </w:rPr>
              <w:t xml:space="preserve"> (Si/No)</w:t>
            </w:r>
          </w:p>
        </w:tc>
        <w:tc>
          <w:tcPr>
            <w:tcW w:w="288" w:type="pct"/>
          </w:tcPr>
          <w:p w14:paraId="564A9D9C" w14:textId="77777777" w:rsidR="00B32A4F" w:rsidRDefault="00B32A4F" w:rsidP="00CD7B55">
            <w:pPr>
              <w:jc w:val="center"/>
              <w:rPr>
                <w:rFonts w:ascii="Barlow" w:eastAsia="Times New Roman" w:hAnsi="Barlow" w:cs="Arial"/>
                <w:sz w:val="16"/>
                <w:szCs w:val="16"/>
              </w:rPr>
            </w:pPr>
            <w:r>
              <w:rPr>
                <w:rFonts w:ascii="Barlow" w:eastAsia="Times New Roman" w:hAnsi="Barlow" w:cs="Arial"/>
                <w:sz w:val="16"/>
                <w:szCs w:val="16"/>
              </w:rPr>
              <w:t xml:space="preserve">Criterio 3 </w:t>
            </w:r>
            <w:r>
              <w:rPr>
                <w:rStyle w:val="Refdenotaalpie"/>
                <w:rFonts w:ascii="Barlow" w:eastAsia="Times New Roman" w:hAnsi="Barlow" w:cs="Arial"/>
                <w:sz w:val="16"/>
                <w:szCs w:val="16"/>
              </w:rPr>
              <w:footnoteReference w:id="3"/>
            </w:r>
            <w:r>
              <w:rPr>
                <w:rFonts w:ascii="Barlow" w:eastAsia="Times New Roman" w:hAnsi="Barlow" w:cs="Arial"/>
                <w:sz w:val="16"/>
                <w:szCs w:val="16"/>
              </w:rPr>
              <w:t xml:space="preserve"> (Si/No)</w:t>
            </w:r>
          </w:p>
        </w:tc>
        <w:tc>
          <w:tcPr>
            <w:tcW w:w="288" w:type="pct"/>
          </w:tcPr>
          <w:p w14:paraId="078D50C7" w14:textId="77777777" w:rsidR="00B32A4F" w:rsidRDefault="00B32A4F" w:rsidP="00CD7B55">
            <w:pPr>
              <w:jc w:val="center"/>
              <w:rPr>
                <w:rFonts w:ascii="Barlow" w:eastAsia="Times New Roman" w:hAnsi="Barlow" w:cs="Arial"/>
                <w:sz w:val="16"/>
                <w:szCs w:val="16"/>
              </w:rPr>
            </w:pPr>
            <w:r>
              <w:rPr>
                <w:rFonts w:ascii="Barlow" w:eastAsia="Times New Roman" w:hAnsi="Barlow" w:cs="Arial"/>
                <w:sz w:val="16"/>
                <w:szCs w:val="16"/>
              </w:rPr>
              <w:t xml:space="preserve">Criterio 4 </w:t>
            </w:r>
            <w:r>
              <w:rPr>
                <w:rStyle w:val="Refdenotaalpie"/>
                <w:rFonts w:ascii="Barlow" w:eastAsia="Times New Roman" w:hAnsi="Barlow" w:cs="Arial"/>
                <w:sz w:val="16"/>
                <w:szCs w:val="16"/>
              </w:rPr>
              <w:footnoteReference w:id="4"/>
            </w:r>
            <w:r>
              <w:rPr>
                <w:rFonts w:ascii="Barlow" w:eastAsia="Times New Roman" w:hAnsi="Barlow" w:cs="Arial"/>
                <w:sz w:val="16"/>
                <w:szCs w:val="16"/>
              </w:rPr>
              <w:t xml:space="preserve"> (Si/No)</w:t>
            </w:r>
          </w:p>
        </w:tc>
        <w:tc>
          <w:tcPr>
            <w:tcW w:w="435" w:type="pct"/>
            <w:vAlign w:val="center"/>
          </w:tcPr>
          <w:p w14:paraId="5360935F" w14:textId="77777777" w:rsidR="00B32A4F" w:rsidRPr="00513510" w:rsidRDefault="00B32A4F" w:rsidP="00CD7B55">
            <w:pPr>
              <w:jc w:val="center"/>
              <w:rPr>
                <w:rFonts w:ascii="Barlow" w:eastAsia="Times New Roman" w:hAnsi="Barlow" w:cs="Arial"/>
                <w:sz w:val="16"/>
                <w:szCs w:val="16"/>
              </w:rPr>
            </w:pPr>
            <w:r>
              <w:rPr>
                <w:rFonts w:ascii="Barlow" w:eastAsia="Times New Roman" w:hAnsi="Barlow" w:cs="Arial"/>
                <w:sz w:val="16"/>
                <w:szCs w:val="16"/>
              </w:rPr>
              <w:t>Dependencia responsable</w:t>
            </w:r>
          </w:p>
        </w:tc>
        <w:tc>
          <w:tcPr>
            <w:tcW w:w="1073" w:type="pct"/>
            <w:vAlign w:val="center"/>
            <w:hideMark/>
          </w:tcPr>
          <w:p w14:paraId="3B027C61" w14:textId="77777777" w:rsidR="00B32A4F" w:rsidRPr="00513510" w:rsidRDefault="00B32A4F" w:rsidP="00CD7B55">
            <w:pPr>
              <w:jc w:val="center"/>
              <w:rPr>
                <w:rFonts w:ascii="Barlow" w:eastAsia="Times New Roman" w:hAnsi="Barlow" w:cs="Arial"/>
                <w:b w:val="0"/>
                <w:bCs w:val="0"/>
                <w:color w:val="auto"/>
                <w:sz w:val="16"/>
                <w:szCs w:val="16"/>
              </w:rPr>
            </w:pPr>
            <w:r w:rsidRPr="00513510">
              <w:rPr>
                <w:rFonts w:ascii="Barlow" w:eastAsia="Times New Roman" w:hAnsi="Barlow" w:cs="Arial"/>
                <w:color w:val="auto"/>
                <w:sz w:val="16"/>
                <w:szCs w:val="16"/>
              </w:rPr>
              <w:t>Posición institucional</w:t>
            </w:r>
          </w:p>
        </w:tc>
      </w:tr>
      <w:tr w:rsidR="00B32A4F" w:rsidRPr="00513510" w14:paraId="3C68EA7E" w14:textId="77777777" w:rsidTr="000B562D">
        <w:trPr>
          <w:trHeight w:val="1179"/>
        </w:trPr>
        <w:tc>
          <w:tcPr>
            <w:tcW w:w="484" w:type="pct"/>
            <w:shd w:val="clear" w:color="auto" w:fill="auto"/>
          </w:tcPr>
          <w:p w14:paraId="2FE709F6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Características del fondo</w:t>
            </w:r>
          </w:p>
          <w:p w14:paraId="4D75EBB9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</w:tcPr>
          <w:p w14:paraId="3FE0EB61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  <w:shd w:val="clear" w:color="auto" w:fill="auto"/>
          </w:tcPr>
          <w:p w14:paraId="32B2B38B" w14:textId="77777777" w:rsidR="00B32A4F" w:rsidRPr="009B75C5" w:rsidRDefault="00B32A4F" w:rsidP="009B75C5">
            <w:pPr>
              <w:rPr>
                <w:rFonts w:ascii="Barlow" w:eastAsia="Times New Roman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eastAsia="Times New Roman" w:hAnsi="Barlow" w:cs="Calibri"/>
                <w:color w:val="000000"/>
                <w:sz w:val="16"/>
                <w:szCs w:val="16"/>
              </w:rPr>
              <w:t xml:space="preserve">No se identificó algún tipo de documento diagnóstico que permitiese la focalización de la problemática que se pretende atender mediante el Subfondo FAM AS y justifique la existencia de este Subfondo. </w:t>
            </w:r>
          </w:p>
          <w:p w14:paraId="0C9EA408" w14:textId="77777777" w:rsidR="00B32A4F" w:rsidRPr="009B75C5" w:rsidRDefault="00B32A4F" w:rsidP="009B75C5">
            <w:pPr>
              <w:rPr>
                <w:rFonts w:ascii="Barlow" w:eastAsia="Times New Roman" w:hAnsi="Barlow" w:cs="Calibri"/>
                <w:color w:val="000000"/>
                <w:sz w:val="16"/>
                <w:szCs w:val="16"/>
              </w:rPr>
            </w:pPr>
          </w:p>
          <w:p w14:paraId="3D0773CA" w14:textId="77777777" w:rsidR="00B32A4F" w:rsidRPr="009B75C5" w:rsidRDefault="00B32A4F" w:rsidP="009B75C5">
            <w:pPr>
              <w:rPr>
                <w:rFonts w:ascii="Barlow" w:eastAsia="Times New Roman" w:hAnsi="Barlow" w:cs="Calibri"/>
                <w:sz w:val="16"/>
                <w:szCs w:val="16"/>
              </w:rPr>
            </w:pPr>
            <w:r w:rsidRPr="009B75C5">
              <w:rPr>
                <w:rFonts w:ascii="Barlow" w:eastAsia="Times New Roman" w:hAnsi="Barlow" w:cs="Calibri"/>
                <w:sz w:val="16"/>
                <w:szCs w:val="16"/>
              </w:rPr>
              <w:t>ALIMENTACION</w:t>
            </w:r>
          </w:p>
        </w:tc>
        <w:tc>
          <w:tcPr>
            <w:tcW w:w="829" w:type="pct"/>
            <w:shd w:val="clear" w:color="auto" w:fill="auto"/>
          </w:tcPr>
          <w:p w14:paraId="61F1DEA7" w14:textId="2C54561F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eastAsia="Times New Roman" w:hAnsi="Barlow" w:cs="Calibri"/>
                <w:color w:val="000000"/>
                <w:sz w:val="16"/>
                <w:szCs w:val="16"/>
              </w:rPr>
              <w:t>Se recomienda al DIF Yucatán la gestión ante la dependencia coordinadora del Subfondo a nivel federal de un documento diagnóstico. En caso de que la dependencia coordinadora a nivel federal no cuente o no disponga de esta información, el DIF Yucatán deberá realizar un esfuerzo para elaborar un documento diagnóstico estatal y con esta información desarrollar una estrategia que permita maximizar el uso de los recursos del Subfondo y priorizar la atención en las zonas que se identifiquen como prioritarias.</w:t>
            </w:r>
          </w:p>
        </w:tc>
        <w:tc>
          <w:tcPr>
            <w:tcW w:w="288" w:type="pct"/>
            <w:shd w:val="clear" w:color="auto" w:fill="auto"/>
          </w:tcPr>
          <w:p w14:paraId="16F79772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33799DAC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5BA29E3C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089D39F8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12C58E3A" w14:textId="77777777" w:rsidR="00B32A4F" w:rsidRPr="00BE6D32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BE6D32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3FEE0436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Se acepta recomendación.</w:t>
            </w:r>
          </w:p>
          <w:p w14:paraId="29246DDA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El documento de la Estrategia Integral de Asistencia Social Alimentaria y de Desarrollo Comunitario EIASADC contiene la información especificada. Adicionalmente la Dirección de Desarrollo Comunitario y Alimentación se encuentra en proceso de construir un documento diagnóstico, en el cual se incluyen algunos de los aspectos mencionados.</w:t>
            </w:r>
          </w:p>
          <w:p w14:paraId="7596FCB0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Se dará cumplimiento al 31 de diciembre de 2020.</w:t>
            </w:r>
          </w:p>
        </w:tc>
      </w:tr>
      <w:tr w:rsidR="00B32A4F" w:rsidRPr="00513510" w14:paraId="59BC68B9" w14:textId="77777777" w:rsidTr="000B562D">
        <w:trPr>
          <w:trHeight w:val="687"/>
        </w:trPr>
        <w:tc>
          <w:tcPr>
            <w:tcW w:w="484" w:type="pct"/>
            <w:shd w:val="clear" w:color="auto" w:fill="auto"/>
          </w:tcPr>
          <w:p w14:paraId="1FF8B5AC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Características del fondo</w:t>
            </w:r>
          </w:p>
        </w:tc>
        <w:tc>
          <w:tcPr>
            <w:tcW w:w="438" w:type="pct"/>
            <w:shd w:val="clear" w:color="auto" w:fill="auto"/>
          </w:tcPr>
          <w:p w14:paraId="235E4F6B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  <w:shd w:val="clear" w:color="auto" w:fill="auto"/>
          </w:tcPr>
          <w:p w14:paraId="74197DBB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Tres de estos cuentan con al menos un componente que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contribuye con la solución del problema y se vincula con el propósito con el FAM AS. </w:t>
            </w:r>
          </w:p>
          <w:p w14:paraId="10F9622D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  <w:p w14:paraId="4A3819C2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ALIMENTACION</w:t>
            </w:r>
          </w:p>
        </w:tc>
        <w:tc>
          <w:tcPr>
            <w:tcW w:w="829" w:type="pct"/>
            <w:shd w:val="clear" w:color="auto" w:fill="auto"/>
          </w:tcPr>
          <w:p w14:paraId="6541174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Se recomienda al DIF Yucatán la gestión ante la dependencia coordinadora del Subfondo a nivel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>federal de un documento diagnóstico. En caso de que la dependencia coordinadora a nivel federal no cuente o no disponga de esta información, el DIF Yucatán deberá realizar un esfuerzo para elaborar un documento diagnóstico estatal y con esta información desarrollar una estrategia que permita maximizar el uso de los recursos del Subfondo y priorizar la atención en las zonas que se identifiquen como prioritarias.</w:t>
            </w:r>
          </w:p>
        </w:tc>
        <w:tc>
          <w:tcPr>
            <w:tcW w:w="288" w:type="pct"/>
            <w:shd w:val="clear" w:color="auto" w:fill="auto"/>
          </w:tcPr>
          <w:p w14:paraId="0D268C3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Si</w:t>
            </w:r>
          </w:p>
        </w:tc>
        <w:tc>
          <w:tcPr>
            <w:tcW w:w="288" w:type="pct"/>
            <w:shd w:val="clear" w:color="auto" w:fill="auto"/>
          </w:tcPr>
          <w:p w14:paraId="1ADD9470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41945598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72A477F1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6D4D2FAC" w14:textId="77777777" w:rsidR="00BE6D32" w:rsidRPr="00BE6D32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BE6D32">
              <w:rPr>
                <w:rFonts w:ascii="Barlow" w:hAnsi="Barlow"/>
                <w:sz w:val="16"/>
                <w:szCs w:val="16"/>
              </w:rPr>
              <w:t>Sistema para el Desarrollo Integral de la</w:t>
            </w:r>
            <w:r w:rsidR="00BE6D32" w:rsidRPr="00BE6D32">
              <w:rPr>
                <w:rFonts w:ascii="Barlow" w:hAnsi="Barlow"/>
                <w:sz w:val="16"/>
                <w:szCs w:val="16"/>
              </w:rPr>
              <w:t xml:space="preserve">                     </w:t>
            </w:r>
            <w:r w:rsidRPr="00BE6D32">
              <w:rPr>
                <w:rFonts w:ascii="Barlow" w:hAnsi="Barlow"/>
                <w:sz w:val="16"/>
                <w:szCs w:val="16"/>
              </w:rPr>
              <w:t xml:space="preserve"> </w:t>
            </w:r>
            <w:r w:rsidR="00BE6D32" w:rsidRPr="00BE6D32">
              <w:rPr>
                <w:rFonts w:ascii="Barlow" w:hAnsi="Barlow"/>
                <w:sz w:val="16"/>
                <w:szCs w:val="16"/>
              </w:rPr>
              <w:t xml:space="preserve">                                          </w:t>
            </w:r>
          </w:p>
          <w:p w14:paraId="13D1F605" w14:textId="77777777" w:rsidR="00BE6D32" w:rsidRPr="00BE6D32" w:rsidRDefault="00BE6D32" w:rsidP="009B75C5">
            <w:pPr>
              <w:rPr>
                <w:rFonts w:ascii="Barlow" w:hAnsi="Barlow"/>
                <w:sz w:val="16"/>
                <w:szCs w:val="16"/>
              </w:rPr>
            </w:pPr>
          </w:p>
          <w:p w14:paraId="2A9A3C95" w14:textId="452ABE43" w:rsidR="00B32A4F" w:rsidRPr="00BE6D32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BE6D32">
              <w:rPr>
                <w:rFonts w:ascii="Barlow" w:hAnsi="Barlow"/>
                <w:sz w:val="16"/>
                <w:szCs w:val="16"/>
              </w:rPr>
              <w:lastRenderedPageBreak/>
              <w:t>Familia en Yucatán</w:t>
            </w:r>
          </w:p>
        </w:tc>
        <w:tc>
          <w:tcPr>
            <w:tcW w:w="1073" w:type="pct"/>
            <w:shd w:val="clear" w:color="auto" w:fill="auto"/>
          </w:tcPr>
          <w:p w14:paraId="7A12E67C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Se acepta recomendación.</w:t>
            </w:r>
          </w:p>
          <w:p w14:paraId="42211264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El documento de la Estrategia Integral de Asistencia Social Alimentaria y de Desarrollo </w:t>
            </w: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Comunitario EIASADC contiene la información especificada. Adicionalmente la Dirección de Desarrollo Comunitario y Alimentación se encuentra en proceso de construir un documento diagnóstico, en el cual se incluyen los aspectos mencionados.</w:t>
            </w:r>
          </w:p>
          <w:p w14:paraId="09CB5D06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Se dará cumplimiento al 31 de diciembre de 2020.</w:t>
            </w:r>
          </w:p>
        </w:tc>
      </w:tr>
      <w:tr w:rsidR="00B32A4F" w:rsidRPr="00513510" w14:paraId="4665D8FD" w14:textId="77777777" w:rsidTr="000B562D">
        <w:trPr>
          <w:trHeight w:val="1315"/>
        </w:trPr>
        <w:tc>
          <w:tcPr>
            <w:tcW w:w="484" w:type="pct"/>
            <w:shd w:val="clear" w:color="auto" w:fill="auto"/>
          </w:tcPr>
          <w:p w14:paraId="2C0A6E3B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Planeación Estratégica</w:t>
            </w:r>
          </w:p>
        </w:tc>
        <w:tc>
          <w:tcPr>
            <w:tcW w:w="438" w:type="pct"/>
            <w:shd w:val="clear" w:color="auto" w:fill="auto"/>
          </w:tcPr>
          <w:p w14:paraId="27338BED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  <w:shd w:val="clear" w:color="auto" w:fill="auto"/>
          </w:tcPr>
          <w:p w14:paraId="7F8BC94D" w14:textId="15A11D0F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El DIF Yucatán no cuenta con un documento </w:t>
            </w:r>
            <w:r w:rsidR="00BE6D32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propio donde se haga explícita la alineación del Subfondo con algún Programa Sectorial Federal, el PED y los Programas de Mediano Plazo del Estado.  </w:t>
            </w:r>
          </w:p>
          <w:p w14:paraId="30B696BE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67C1D5F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Se recomienda que el DIF Yucatán elabore un documento en donde haga explicita la alineación del Subfondo con la planeación federal y estatal.</w:t>
            </w:r>
          </w:p>
        </w:tc>
        <w:tc>
          <w:tcPr>
            <w:tcW w:w="288" w:type="pct"/>
            <w:shd w:val="clear" w:color="auto" w:fill="auto"/>
          </w:tcPr>
          <w:p w14:paraId="1239F72A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54CBD3F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2A8F45B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5571F337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0F8C633E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17C8085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Se acepta recomendación.</w:t>
            </w:r>
          </w:p>
          <w:p w14:paraId="19247F18" w14:textId="77777777" w:rsidR="00BE6D32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E</w:t>
            </w:r>
            <w:r w:rsidR="00BE6D32">
              <w:rPr>
                <w:rFonts w:ascii="Barlow" w:hAnsi="Barlow"/>
                <w:sz w:val="16"/>
                <w:szCs w:val="16"/>
              </w:rPr>
              <w:t xml:space="preserve">l documento de construcción del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PP </w:t>
            </w:r>
            <w:r w:rsidR="00BE6D32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451 Atención Integral en </w:t>
            </w:r>
          </w:p>
          <w:p w14:paraId="6FF4714E" w14:textId="282C6D2C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Alimentación a Personas Sujetas de Asistencia Social incluye claramente la alineación al PED. Adicionalmente la Dirección de Desarrollo Comunitario y Alimentación se encuentra en proceso de construir un documento diagnóstico, en el cual se incluyen los aspectos mencionados.</w:t>
            </w:r>
          </w:p>
          <w:p w14:paraId="0FABA1AB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Se dará cumplimiento al 31 de diciembre de 2020.</w:t>
            </w:r>
          </w:p>
        </w:tc>
      </w:tr>
      <w:tr w:rsidR="00B32A4F" w:rsidRPr="00513510" w14:paraId="7EF557FF" w14:textId="77777777" w:rsidTr="000B562D">
        <w:trPr>
          <w:trHeight w:val="1757"/>
        </w:trPr>
        <w:tc>
          <w:tcPr>
            <w:tcW w:w="484" w:type="pct"/>
          </w:tcPr>
          <w:p w14:paraId="4C4240C5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Planeación Estratégica</w:t>
            </w:r>
          </w:p>
        </w:tc>
        <w:tc>
          <w:tcPr>
            <w:tcW w:w="438" w:type="pct"/>
          </w:tcPr>
          <w:p w14:paraId="24BB9DC2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</w:tcPr>
          <w:p w14:paraId="261F8270" w14:textId="77777777" w:rsidR="00CC04D3" w:rsidRDefault="00171CE9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El programa Sujetos en Condición de Vulnerabilidad, a pesar de que uno de sus componentes se refiere a la provisión de apoyos en </w:t>
            </w:r>
            <w:r w:rsidR="00CC04D3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especie a las personas más vulnerables, no se especifica que dentro de estos apoyos se </w:t>
            </w:r>
          </w:p>
          <w:p w14:paraId="0618ED3A" w14:textId="77777777" w:rsidR="00CC04D3" w:rsidRDefault="00171CE9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incluyan </w:t>
            </w:r>
          </w:p>
          <w:p w14:paraId="4C9FED4C" w14:textId="05516E44" w:rsidR="00B32A4F" w:rsidRPr="009B75C5" w:rsidRDefault="00171CE9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alimentos</w:t>
            </w:r>
          </w:p>
        </w:tc>
        <w:tc>
          <w:tcPr>
            <w:tcW w:w="829" w:type="pct"/>
          </w:tcPr>
          <w:p w14:paraId="2E5F63F0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Se recomienda que la dependencia coordinadora de este programa clarifique o sea más explícita en los tipos de apoyos en especie que se consideran.</w:t>
            </w:r>
          </w:p>
        </w:tc>
        <w:tc>
          <w:tcPr>
            <w:tcW w:w="288" w:type="pct"/>
          </w:tcPr>
          <w:p w14:paraId="1C89B42C" w14:textId="2B338DF2" w:rsidR="00B32A4F" w:rsidRPr="009B75C5" w:rsidRDefault="002C3591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69D1C87C" w14:textId="78C9ECC6" w:rsidR="00B32A4F" w:rsidRPr="009B75C5" w:rsidRDefault="002C3591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288" w:type="pct"/>
          </w:tcPr>
          <w:p w14:paraId="30052858" w14:textId="758D69A1" w:rsidR="00B32A4F" w:rsidRPr="009B75C5" w:rsidRDefault="002C3591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288" w:type="pct"/>
          </w:tcPr>
          <w:p w14:paraId="50E99601" w14:textId="68274ECE" w:rsidR="00B32A4F" w:rsidRPr="009B75C5" w:rsidRDefault="008609AE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2C2C7CA1" w14:textId="37906215" w:rsidR="00B32A4F" w:rsidRPr="009B75C5" w:rsidRDefault="002C3591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</w:tcPr>
          <w:p w14:paraId="41B60547" w14:textId="24A70AF3" w:rsidR="00B32A4F" w:rsidRPr="009B75C5" w:rsidRDefault="008609AE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NO acepta recomendación, En efecto el programa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Sujetos en Condi</w:t>
            </w:r>
            <w:r w:rsidR="00BC2519" w:rsidRPr="009B75C5">
              <w:rPr>
                <w:rFonts w:ascii="Barlow" w:hAnsi="Barlow" w:cs="Calibri"/>
                <w:color w:val="000000"/>
                <w:sz w:val="16"/>
                <w:szCs w:val="16"/>
              </w:rPr>
              <w:t>ción de Vulnerabilidad, programó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el  componente apoyos en especie a las personas más vulnerables, que dentro del formato de UBP alinea el entregable de Despensas Entregadas, lo cual especifica cual es el bien o apoyo entregado al usuario</w:t>
            </w:r>
          </w:p>
        </w:tc>
      </w:tr>
      <w:tr w:rsidR="00B32A4F" w:rsidRPr="00513510" w14:paraId="7168A0AB" w14:textId="77777777" w:rsidTr="000B562D">
        <w:trPr>
          <w:trHeight w:val="841"/>
        </w:trPr>
        <w:tc>
          <w:tcPr>
            <w:tcW w:w="484" w:type="pct"/>
            <w:shd w:val="clear" w:color="auto" w:fill="auto"/>
          </w:tcPr>
          <w:p w14:paraId="253DBE5C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Planeación Estratégica</w:t>
            </w:r>
          </w:p>
        </w:tc>
        <w:tc>
          <w:tcPr>
            <w:tcW w:w="438" w:type="pct"/>
            <w:shd w:val="clear" w:color="auto" w:fill="auto"/>
          </w:tcPr>
          <w:p w14:paraId="4CBC987A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  <w:shd w:val="clear" w:color="auto" w:fill="auto"/>
          </w:tcPr>
          <w:p w14:paraId="6E1CF2EB" w14:textId="77777777" w:rsidR="000B562D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El PP 85. Cohesión Social no se identifica que considere</w:t>
            </w:r>
            <w:r w:rsidR="000B562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   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algún </w:t>
            </w:r>
          </w:p>
          <w:p w14:paraId="7A325DFA" w14:textId="3614B9AC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componente referente a la entrega de alimentos a la población</w:t>
            </w:r>
            <w:r w:rsidR="000B562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objetivo. </w:t>
            </w:r>
          </w:p>
          <w:p w14:paraId="794C41F8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  <w:p w14:paraId="7D8BB490" w14:textId="77777777" w:rsidR="00B32A4F" w:rsidRPr="009B75C5" w:rsidRDefault="00B32A4F" w:rsidP="009B75C5">
            <w:pPr>
              <w:rPr>
                <w:rFonts w:ascii="Barlow" w:hAnsi="Barlow" w:cs="Calibri"/>
                <w:sz w:val="16"/>
                <w:szCs w:val="16"/>
              </w:rPr>
            </w:pPr>
          </w:p>
          <w:p w14:paraId="739AE0AF" w14:textId="77777777" w:rsidR="00B32A4F" w:rsidRPr="009B75C5" w:rsidRDefault="00B32A4F" w:rsidP="009B75C5">
            <w:pPr>
              <w:rPr>
                <w:rFonts w:ascii="Barlow" w:hAnsi="Barlow" w:cs="Calibri"/>
                <w:sz w:val="16"/>
                <w:szCs w:val="16"/>
              </w:rPr>
            </w:pPr>
            <w:r w:rsidRPr="009B75C5">
              <w:rPr>
                <w:rFonts w:ascii="Barlow" w:hAnsi="Barlow" w:cs="Calibri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17AA9AD4" w14:textId="62FA743E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Se recomienda que el DIF- Yucatán verifique que los PP vigentes que de acuerdo con el Decreto de Presupuesto de E</w:t>
            </w:r>
            <w:r w:rsidR="000B562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gresos para el ejercicio fiscal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2020 tienen recursos asignados del Subfondo, incluyan algún componente o actividad que se encuentre vinculado con el propósito del FAM AS para asegurar que los recursos se destinen a lo programado y se garantice su correcto ejercicio.  </w:t>
            </w:r>
          </w:p>
        </w:tc>
        <w:tc>
          <w:tcPr>
            <w:tcW w:w="288" w:type="pct"/>
            <w:shd w:val="clear" w:color="auto" w:fill="auto"/>
          </w:tcPr>
          <w:p w14:paraId="0702773C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04A4DF77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441D8137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3AF30288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17B4F64C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145981C0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El PP 85. Cohesión Social ha perdido vigencia a partir del ejercicio 2020. No obstante se acepta parcialmente la recomendación, ya que se revisará en coordinación con la SAF y Desarrollo Social, el PP 476 Atención y desarrollo de las organizaciones sociales para validar la incorporación de estas recomendaciones.</w:t>
            </w:r>
          </w:p>
          <w:p w14:paraId="48D368CF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</w:p>
        </w:tc>
      </w:tr>
      <w:tr w:rsidR="00B32A4F" w:rsidRPr="00513510" w14:paraId="28131FEF" w14:textId="77777777" w:rsidTr="000B562D">
        <w:trPr>
          <w:trHeight w:val="440"/>
        </w:trPr>
        <w:tc>
          <w:tcPr>
            <w:tcW w:w="484" w:type="pct"/>
            <w:shd w:val="clear" w:color="auto" w:fill="auto"/>
          </w:tcPr>
          <w:p w14:paraId="55E8A74C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Planeación Estratégica</w:t>
            </w:r>
          </w:p>
        </w:tc>
        <w:tc>
          <w:tcPr>
            <w:tcW w:w="438" w:type="pct"/>
            <w:shd w:val="clear" w:color="auto" w:fill="auto"/>
          </w:tcPr>
          <w:p w14:paraId="5966ED18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  <w:shd w:val="clear" w:color="auto" w:fill="auto"/>
          </w:tcPr>
          <w:p w14:paraId="3D4A4FDB" w14:textId="77777777" w:rsidR="000B562D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La MIR del programa </w:t>
            </w:r>
          </w:p>
          <w:p w14:paraId="5CA28D6E" w14:textId="66E65C86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Carencia por Acceso a la Alimentación no considera indicadores para los objetivos a nivel de actividad. </w:t>
            </w:r>
          </w:p>
          <w:p w14:paraId="63189B63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  <w:p w14:paraId="420E0A6B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2FB28277" w14:textId="07B49F2A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Se recomienda verificar </w:t>
            </w:r>
            <w:r w:rsidR="000B562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que los programas </w:t>
            </w:r>
            <w:r w:rsidR="000B562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vigentes y que ejerzan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recursos del Subfondo se incluyan en el Tomo V del Presupuesto de Egresos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del Estado con los criterios mínimos que se establecen en la metodología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propuesta por el Consejo Nacional de Evaluación de la Política de Desarrollo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Social (Coneval) para la creación de nuevos indicadores, así como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en los Lineamientos para el Diseño y Aprobación de los PP establecidos por la SAF.</w:t>
            </w:r>
          </w:p>
        </w:tc>
        <w:tc>
          <w:tcPr>
            <w:tcW w:w="288" w:type="pct"/>
            <w:shd w:val="clear" w:color="auto" w:fill="auto"/>
          </w:tcPr>
          <w:p w14:paraId="6E43CFAB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 xml:space="preserve">Si </w:t>
            </w:r>
          </w:p>
        </w:tc>
        <w:tc>
          <w:tcPr>
            <w:tcW w:w="288" w:type="pct"/>
            <w:shd w:val="clear" w:color="auto" w:fill="auto"/>
          </w:tcPr>
          <w:p w14:paraId="3A82B50E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43689D26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1F618416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  <w:shd w:val="clear" w:color="auto" w:fill="auto"/>
          </w:tcPr>
          <w:p w14:paraId="7B150C31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</w:t>
            </w:r>
            <w:r w:rsidRPr="009B75C5">
              <w:rPr>
                <w:rFonts w:ascii="Barlow" w:hAnsi="Barlow"/>
                <w:sz w:val="16"/>
                <w:szCs w:val="16"/>
              </w:rPr>
              <w:br/>
              <w:t xml:space="preserve">Desarrollo </w:t>
            </w: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7181A996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 xml:space="preserve">No se establecieron indicadores a nivel actividad en el PP Carencia por acceso a la alimentación, dando </w:t>
            </w: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seguimiento únicamente a nivel fin, propósito y componente. Sin embargo dicho PP ha perdido  vigencia a partir del ejercicio 2020, por lo que no se considera factible generar indicadores a nivel actividad. No obstante para el ejercicio 2020 ya se incluyen los indicadores a nivel actividad en el PP 451 Atención Integral en Alimentación a Personas Sujetas de Asistencia Social.</w:t>
            </w:r>
          </w:p>
          <w:p w14:paraId="1653CE04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Debido a lo anterior, no se acepta la recomendación</w:t>
            </w:r>
          </w:p>
        </w:tc>
      </w:tr>
      <w:tr w:rsidR="00B32A4F" w:rsidRPr="00513510" w14:paraId="16439B67" w14:textId="77777777" w:rsidTr="000B562D">
        <w:trPr>
          <w:trHeight w:val="841"/>
        </w:trPr>
        <w:tc>
          <w:tcPr>
            <w:tcW w:w="484" w:type="pct"/>
            <w:shd w:val="clear" w:color="auto" w:fill="auto"/>
          </w:tcPr>
          <w:p w14:paraId="00BCDB4F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Planeación Estratégica</w:t>
            </w:r>
          </w:p>
        </w:tc>
        <w:tc>
          <w:tcPr>
            <w:tcW w:w="438" w:type="pct"/>
            <w:shd w:val="clear" w:color="auto" w:fill="auto"/>
          </w:tcPr>
          <w:p w14:paraId="6836241D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  <w:shd w:val="clear" w:color="auto" w:fill="auto"/>
          </w:tcPr>
          <w:p w14:paraId="00145225" w14:textId="374ABBBD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La MIR del programa Cohesión Social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no considera indicadores para los objetivos a nivel de actividad. </w:t>
            </w:r>
          </w:p>
          <w:p w14:paraId="269FF9B5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  <w:p w14:paraId="623B6B4C" w14:textId="77777777" w:rsidR="00B32A4F" w:rsidRPr="009B75C5" w:rsidRDefault="00B32A4F" w:rsidP="009B75C5">
            <w:pPr>
              <w:rPr>
                <w:rFonts w:ascii="Barlow" w:hAnsi="Barlow" w:cs="Calibri"/>
                <w:sz w:val="16"/>
                <w:szCs w:val="16"/>
              </w:rPr>
            </w:pPr>
          </w:p>
          <w:p w14:paraId="1C902238" w14:textId="77777777" w:rsidR="00B32A4F" w:rsidRPr="009B75C5" w:rsidRDefault="00B32A4F" w:rsidP="009B75C5">
            <w:pPr>
              <w:rPr>
                <w:rFonts w:ascii="Barlow" w:hAnsi="Barlow" w:cs="Calibri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607D8F7D" w14:textId="4FB8A766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recomienda verificar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que los programas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vigentes y que ejerzan recursos del Subfondo se incluyan en el Tomo V del Presupuesto de Egresos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del Estado con los criterios mínimos que se establecen en la metodología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propuesta por el Consejo Nacional de Evaluación de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la Política de Desarrollo Social (Coneval) para la creación de nuevos indicadores, así como en </w:t>
            </w:r>
            <w:r w:rsidR="005D6F6D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los Lineamientos para el Diseño y Aprobación de los PP establecidos por la SAF.</w:t>
            </w:r>
          </w:p>
        </w:tc>
        <w:tc>
          <w:tcPr>
            <w:tcW w:w="288" w:type="pct"/>
            <w:shd w:val="clear" w:color="auto" w:fill="auto"/>
          </w:tcPr>
          <w:p w14:paraId="4BF6A3BF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 </w:t>
            </w:r>
          </w:p>
        </w:tc>
        <w:tc>
          <w:tcPr>
            <w:tcW w:w="288" w:type="pct"/>
            <w:shd w:val="clear" w:color="auto" w:fill="auto"/>
          </w:tcPr>
          <w:p w14:paraId="4FF4C17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7BAE94FE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7396DF43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  <w:shd w:val="clear" w:color="auto" w:fill="auto"/>
          </w:tcPr>
          <w:p w14:paraId="7E000B71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</w:t>
            </w:r>
            <w:r w:rsidRPr="009B75C5">
              <w:rPr>
                <w:rFonts w:ascii="Barlow" w:hAnsi="Barlow"/>
                <w:sz w:val="16"/>
                <w:szCs w:val="16"/>
              </w:rPr>
              <w:br/>
              <w:t>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62C3E2DD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 se establecieron indicadores a nivel actividad en el PP Cohesión social, dando seguimiento únicamente a nivel fin, propósito y componente. sin embargo dicho PP ha perdido  vigencia a partir del ejercicio 2020, por lo que no se considera factible generar indicadores a nivel actividad. No obstante para el ejercicio 2020 ya se incluyen los indicadores a nivel actividad en el PP 476 Atención y desarrollo de las organizaciones sociales.</w:t>
            </w:r>
          </w:p>
          <w:p w14:paraId="0FE3190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Debido a lo anterior, no se acepta la recomendación</w:t>
            </w:r>
          </w:p>
        </w:tc>
      </w:tr>
      <w:tr w:rsidR="00B32A4F" w:rsidRPr="00513510" w14:paraId="796EE520" w14:textId="77777777" w:rsidTr="000B562D">
        <w:trPr>
          <w:trHeight w:val="440"/>
        </w:trPr>
        <w:tc>
          <w:tcPr>
            <w:tcW w:w="484" w:type="pct"/>
          </w:tcPr>
          <w:p w14:paraId="3AAD75F1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Planeación Estratégica</w:t>
            </w:r>
          </w:p>
        </w:tc>
        <w:tc>
          <w:tcPr>
            <w:tcW w:w="438" w:type="pct"/>
          </w:tcPr>
          <w:p w14:paraId="2B9268E2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</w:tcPr>
          <w:p w14:paraId="2ACE60C6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La MIR del programa Sujetos en Condición de Vulnerabilidad no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considera indicadores para los objetivos a nivel de actividad. </w:t>
            </w:r>
          </w:p>
          <w:p w14:paraId="4A634806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  <w:p w14:paraId="5DCEDB94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</w:tcPr>
          <w:p w14:paraId="63CAAEF4" w14:textId="5D410F1B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Se recomienda verificar </w:t>
            </w:r>
            <w:r w:rsidR="00BA4502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que los programas </w:t>
            </w:r>
            <w:r w:rsidR="00BA4502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vigentes y que ejerzan recursos del Subfondo se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incluyan en el Tomo V del Presupuesto de Egresos </w:t>
            </w:r>
            <w:r w:rsidR="00F346AF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del Estado con los criterios mínimos que se establecen en la metodología </w:t>
            </w:r>
            <w:r w:rsidR="00F346AF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propuesta por el Consejo Nacional de Evaluación de </w:t>
            </w:r>
            <w:r w:rsidR="00F346AF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la Política de Desarrollo Social (Coneval) para la creación de nuevos indicadores, así como en</w:t>
            </w:r>
            <w:r w:rsidR="00F346AF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los Lineamientos para el Diseño y Aprobación de los PP establecidos por la SAF.</w:t>
            </w:r>
          </w:p>
        </w:tc>
        <w:tc>
          <w:tcPr>
            <w:tcW w:w="288" w:type="pct"/>
          </w:tcPr>
          <w:p w14:paraId="71A6BFF2" w14:textId="482E1A6F" w:rsidR="00B32A4F" w:rsidRPr="009B75C5" w:rsidRDefault="00006846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Si</w:t>
            </w:r>
          </w:p>
        </w:tc>
        <w:tc>
          <w:tcPr>
            <w:tcW w:w="288" w:type="pct"/>
          </w:tcPr>
          <w:p w14:paraId="251EAA0A" w14:textId="2BB8F8E1" w:rsidR="00B32A4F" w:rsidRPr="009B75C5" w:rsidRDefault="00006846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246E1687" w14:textId="7230A06F" w:rsidR="00B32A4F" w:rsidRPr="009B75C5" w:rsidRDefault="00006846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2E630B2A" w14:textId="4E87B437" w:rsidR="00B32A4F" w:rsidRPr="009B75C5" w:rsidRDefault="00006846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7D845A27" w14:textId="77777777" w:rsidR="00BA4502" w:rsidRDefault="00006846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Desarrollo Integral de la </w:t>
            </w:r>
            <w:r w:rsidR="00BA4502">
              <w:rPr>
                <w:rFonts w:ascii="Barlow" w:hAnsi="Barlow"/>
                <w:sz w:val="16"/>
                <w:szCs w:val="16"/>
              </w:rPr>
              <w:t xml:space="preserve">      </w:t>
            </w:r>
          </w:p>
          <w:p w14:paraId="28B02719" w14:textId="275A4515" w:rsidR="00B32A4F" w:rsidRPr="009B75C5" w:rsidRDefault="00BA4502" w:rsidP="009B75C5">
            <w:pPr>
              <w:rPr>
                <w:rFonts w:ascii="Barlow" w:hAnsi="Barlow"/>
                <w:sz w:val="16"/>
                <w:szCs w:val="16"/>
              </w:rPr>
            </w:pPr>
            <w:r>
              <w:rPr>
                <w:rFonts w:ascii="Barlow" w:hAnsi="Barlow"/>
                <w:sz w:val="16"/>
                <w:szCs w:val="16"/>
              </w:rPr>
              <w:lastRenderedPageBreak/>
              <w:t xml:space="preserve">               </w:t>
            </w:r>
            <w:r w:rsidR="00006846" w:rsidRPr="009B75C5">
              <w:rPr>
                <w:rFonts w:ascii="Barlow" w:hAnsi="Barlow"/>
                <w:sz w:val="16"/>
                <w:szCs w:val="16"/>
              </w:rPr>
              <w:t>Familia en Yucatán</w:t>
            </w:r>
          </w:p>
        </w:tc>
        <w:tc>
          <w:tcPr>
            <w:tcW w:w="1073" w:type="pct"/>
          </w:tcPr>
          <w:p w14:paraId="4DD2B1E8" w14:textId="107734B7" w:rsidR="00171CE9" w:rsidRPr="009B75C5" w:rsidRDefault="00171CE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 xml:space="preserve">No se establecieron indicadores a nivel actividad en el PP </w:t>
            </w:r>
            <w:r w:rsidR="00BB6DC9" w:rsidRPr="009B75C5">
              <w:rPr>
                <w:rFonts w:ascii="Barlow" w:hAnsi="Barlow"/>
                <w:sz w:val="16"/>
                <w:szCs w:val="16"/>
              </w:rPr>
              <w:t xml:space="preserve">Sujetos en condiciones de Vulnerabilidad, dando seguimiento únicamente a </w:t>
            </w:r>
            <w:r w:rsidR="00BB6DC9" w:rsidRPr="009B75C5">
              <w:rPr>
                <w:rFonts w:ascii="Barlow" w:hAnsi="Barlow"/>
                <w:sz w:val="16"/>
                <w:szCs w:val="16"/>
              </w:rPr>
              <w:lastRenderedPageBreak/>
              <w:t>nivel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fin, propósito y componente. sin embargo dicho PP ha perdido  vigencia a partir del ejercicio 2020, por lo que no se considera factible generar indicadores a nivel actividad. No obstante para el ejercicio 2020 ya se incluyen los indicadores a nivel actividad en el PP 47</w:t>
            </w:r>
            <w:r w:rsidR="00BB6DC9" w:rsidRPr="009B75C5">
              <w:rPr>
                <w:rFonts w:ascii="Barlow" w:hAnsi="Barlow"/>
                <w:sz w:val="16"/>
                <w:szCs w:val="16"/>
              </w:rPr>
              <w:t xml:space="preserve">7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</w:t>
            </w:r>
            <w:r w:rsidR="00006846" w:rsidRPr="009B75C5">
              <w:rPr>
                <w:rFonts w:ascii="Barlow" w:hAnsi="Barlow"/>
                <w:sz w:val="16"/>
                <w:szCs w:val="16"/>
              </w:rPr>
              <w:t>Asistencia Social a Personas Vulnerables</w:t>
            </w:r>
            <w:r w:rsidRPr="009B75C5">
              <w:rPr>
                <w:rFonts w:ascii="Barlow" w:hAnsi="Barlow"/>
                <w:sz w:val="16"/>
                <w:szCs w:val="16"/>
              </w:rPr>
              <w:t>.</w:t>
            </w:r>
          </w:p>
          <w:p w14:paraId="08D89F96" w14:textId="26FFF683" w:rsidR="00B32A4F" w:rsidRPr="009B75C5" w:rsidRDefault="00171CE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Debido a lo anterior, no se acepta la recomendación</w:t>
            </w:r>
          </w:p>
        </w:tc>
      </w:tr>
      <w:tr w:rsidR="00B32A4F" w:rsidRPr="00513510" w14:paraId="04E2ADF7" w14:textId="77777777" w:rsidTr="000B562D">
        <w:trPr>
          <w:trHeight w:val="298"/>
        </w:trPr>
        <w:tc>
          <w:tcPr>
            <w:tcW w:w="484" w:type="pct"/>
          </w:tcPr>
          <w:p w14:paraId="2E590033" w14:textId="598390E3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Planeación Estratégica</w:t>
            </w:r>
          </w:p>
        </w:tc>
        <w:tc>
          <w:tcPr>
            <w:tcW w:w="438" w:type="pct"/>
          </w:tcPr>
          <w:p w14:paraId="27697CDF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</w:tcPr>
          <w:p w14:paraId="14E83069" w14:textId="23ED76EC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La MIR del programa </w:t>
            </w:r>
            <w:r w:rsidR="00F346AF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Atención Integral al Menor en Desamparo no considera indicadores para los objetivos a nivel de actividad. </w:t>
            </w:r>
          </w:p>
          <w:p w14:paraId="2A95E4DE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  <w:p w14:paraId="5379DF61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</w:tcPr>
          <w:p w14:paraId="057B7810" w14:textId="1904CEDC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Se recomienda verificar</w:t>
            </w:r>
            <w:r w:rsidR="00F346AF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que los programas</w:t>
            </w:r>
            <w:r w:rsidR="00F346AF">
              <w:rPr>
                <w:rFonts w:ascii="Barlow" w:hAnsi="Barlow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vigentes y que ejerzan recursos del Subfondo se incluyan en el Tomo V del Presupuesto de Egresos </w:t>
            </w:r>
            <w:r w:rsidR="00F346AF">
              <w:rPr>
                <w:rFonts w:ascii="Barlow" w:hAnsi="Barlow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del Estado con los criterios mínimos que se establecen en la metodología </w:t>
            </w:r>
            <w:r w:rsidR="00F346AF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propuesta por el Consejo Nacional de Evaluación de </w:t>
            </w:r>
            <w:r w:rsidR="00F346AF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la Política de Desarrollo Social (Coneval) para la creación de nuevos indicadores, así como en </w:t>
            </w:r>
            <w:r w:rsidR="00F346AF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>los Lineamientos para el Diseño y Aprobación de los PP establecidos por la SAF.</w:t>
            </w:r>
          </w:p>
        </w:tc>
        <w:tc>
          <w:tcPr>
            <w:tcW w:w="288" w:type="pct"/>
          </w:tcPr>
          <w:p w14:paraId="6CB9BFE6" w14:textId="3A070D78" w:rsidR="00B32A4F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2D03BC56" w14:textId="3B9C8571" w:rsidR="00B32A4F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035D0ABC" w14:textId="7EB81983" w:rsidR="00B32A4F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23717975" w14:textId="2BE2EA00" w:rsidR="00B32A4F" w:rsidRPr="009B75C5" w:rsidRDefault="005F72D4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534D48F5" w14:textId="5CC079C5" w:rsidR="00B32A4F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</w:tcPr>
          <w:p w14:paraId="56F4B578" w14:textId="2AF98BCA" w:rsidR="00B32A4F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Para el ejercicio 2019, la SAF no estableció indicadores a nivel actividad, únicamente se dio seguimiento a indicadores a nivel fin, propósito y componente. Asimismo, dicho PP ya perdió vigencia por lo que no se considera factible generar indicadores del nivel solicitado. Adicionalmente para el ejercicio 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>2020 ya se incluyen los indicadores a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  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nivel actividad.</w:t>
            </w:r>
          </w:p>
        </w:tc>
      </w:tr>
      <w:tr w:rsidR="00B32A4F" w:rsidRPr="00513510" w14:paraId="146FA224" w14:textId="77777777" w:rsidTr="000B562D">
        <w:trPr>
          <w:trHeight w:val="841"/>
        </w:trPr>
        <w:tc>
          <w:tcPr>
            <w:tcW w:w="484" w:type="pct"/>
          </w:tcPr>
          <w:p w14:paraId="07388964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Planeación Estratégica</w:t>
            </w:r>
          </w:p>
        </w:tc>
        <w:tc>
          <w:tcPr>
            <w:tcW w:w="438" w:type="pct"/>
          </w:tcPr>
          <w:p w14:paraId="1EFB7EB2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</w:tcPr>
          <w:p w14:paraId="31384370" w14:textId="0D545FFD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La MIR del programa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Atención al Desarrollo Infantil 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                     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no considera </w:t>
            </w: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 xml:space="preserve">indicadores para los objetivos a nivel de actividad. </w:t>
            </w:r>
          </w:p>
          <w:p w14:paraId="567FF22F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</w:tcPr>
          <w:p w14:paraId="057ACE65" w14:textId="2B238FC9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 xml:space="preserve">Se recomienda verificar que los programas 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           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vigentes y que ejerzan recursos del Subfondo se incluyan en el Tomo V del </w:t>
            </w: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 xml:space="preserve">Presupuesto de Egresos 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del Estado con los criterios mínimos que se establecen en la metodología 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propuesta por el Consejo Nacional de Evaluación de 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>la Política de Desarrollo Social (Coneval) para la creación de nuevos indicadores,</w:t>
            </w:r>
            <w:r w:rsidRPr="009B75C5"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>así como en los Lineamientos para el Diseño y Aprobación de los PP establecidos por la SAF.</w:t>
            </w:r>
          </w:p>
        </w:tc>
        <w:tc>
          <w:tcPr>
            <w:tcW w:w="288" w:type="pct"/>
          </w:tcPr>
          <w:p w14:paraId="534C9996" w14:textId="3C3A02FD" w:rsidR="00B32A4F" w:rsidRPr="009B75C5" w:rsidRDefault="005F72D4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Si</w:t>
            </w:r>
          </w:p>
        </w:tc>
        <w:tc>
          <w:tcPr>
            <w:tcW w:w="288" w:type="pct"/>
          </w:tcPr>
          <w:p w14:paraId="3CACDF5E" w14:textId="61459A1A" w:rsidR="00B32A4F" w:rsidRPr="009B75C5" w:rsidRDefault="005F72D4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4F01E4C0" w14:textId="7AF4EE93" w:rsidR="00B32A4F" w:rsidRPr="009B75C5" w:rsidRDefault="005F72D4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16B17E28" w14:textId="1D4A9968" w:rsidR="00B32A4F" w:rsidRPr="009B75C5" w:rsidRDefault="005F72D4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3241874B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</w:p>
        </w:tc>
        <w:tc>
          <w:tcPr>
            <w:tcW w:w="1073" w:type="pct"/>
          </w:tcPr>
          <w:p w14:paraId="16F01C05" w14:textId="0E4FD2B0" w:rsidR="00B32A4F" w:rsidRPr="009B75C5" w:rsidRDefault="005F72D4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Para el ejercicio 2019, la SAF no estableció indicadores a nivel actividad, únicamente se dio seguimiento a indicadores a nivel fin, propósito y componente. </w:t>
            </w: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 xml:space="preserve">Asimismo, dicho PP ya perdió vigencia por lo que no se considera factible generar indicadores del nivel solicitado. Adicionalmente para el ejercicio </w:t>
            </w:r>
            <w:r w:rsidR="00D71115"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>2020 ya se incluyen los indicadores a nivel actividad.</w:t>
            </w:r>
          </w:p>
        </w:tc>
      </w:tr>
      <w:tr w:rsidR="00B32A4F" w:rsidRPr="00513510" w14:paraId="7124F4A2" w14:textId="77777777" w:rsidTr="000B562D">
        <w:trPr>
          <w:trHeight w:val="841"/>
        </w:trPr>
        <w:tc>
          <w:tcPr>
            <w:tcW w:w="484" w:type="pct"/>
            <w:shd w:val="clear" w:color="auto" w:fill="auto"/>
          </w:tcPr>
          <w:p w14:paraId="19AC0D02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Planeación Estratégica</w:t>
            </w:r>
          </w:p>
        </w:tc>
        <w:tc>
          <w:tcPr>
            <w:tcW w:w="438" w:type="pct"/>
            <w:shd w:val="clear" w:color="auto" w:fill="auto"/>
          </w:tcPr>
          <w:p w14:paraId="787BB59A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  <w:shd w:val="clear" w:color="auto" w:fill="auto"/>
          </w:tcPr>
          <w:p w14:paraId="3CF2D7C5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Los medios de verificación de la MIR del programa Carencia por Acceso a la Alimentación se encuentran limitados puesto que no son públicos.  </w:t>
            </w:r>
          </w:p>
          <w:p w14:paraId="4B4C7FF3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50D56FE2" w14:textId="73DF0F2F" w:rsidR="00B32A4F" w:rsidRPr="009B75C5" w:rsidRDefault="00B32A4F" w:rsidP="00D7111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recomienda que para todos los programas que ejercen recursos del FAM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AS se publiquen las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fuentes de información utilizadas para calcular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cada uno de los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indicadores, así como incorporarlas en la MIR.</w:t>
            </w:r>
          </w:p>
        </w:tc>
        <w:tc>
          <w:tcPr>
            <w:tcW w:w="288" w:type="pct"/>
            <w:shd w:val="clear" w:color="auto" w:fill="auto"/>
          </w:tcPr>
          <w:p w14:paraId="27320C71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46140EA3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0A8256EA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454CFE5D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35C707D5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</w:t>
            </w:r>
            <w:r w:rsidRPr="009B75C5">
              <w:rPr>
                <w:rFonts w:ascii="Barlow" w:hAnsi="Barlow"/>
                <w:sz w:val="16"/>
                <w:szCs w:val="16"/>
              </w:rPr>
              <w:br/>
              <w:t>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016DECE0" w14:textId="586D3799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El PP 80. Carencia por acceso a la alimentación ha perdido vigencia a partir del ejercicio 2020</w:t>
            </w:r>
            <w:r w:rsidR="006E2B35" w:rsidRPr="009B75C5">
              <w:rPr>
                <w:rFonts w:ascii="Barlow" w:hAnsi="Barlow"/>
                <w:sz w:val="16"/>
                <w:szCs w:val="16"/>
              </w:rPr>
              <w:t xml:space="preserve"> y no es factible realizar la publicación de sus medios de verificación</w:t>
            </w:r>
            <w:r w:rsidRPr="009B75C5">
              <w:rPr>
                <w:rFonts w:ascii="Barlow" w:hAnsi="Barlow"/>
                <w:sz w:val="16"/>
                <w:szCs w:val="16"/>
              </w:rPr>
              <w:t>. No obstante se acepta</w:t>
            </w:r>
            <w:r w:rsidR="006E2B35" w:rsidRPr="009B75C5">
              <w:rPr>
                <w:rFonts w:ascii="Barlow" w:hAnsi="Barlow"/>
                <w:sz w:val="16"/>
                <w:szCs w:val="16"/>
              </w:rPr>
              <w:t xml:space="preserve"> parcialmente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la recomendación, </w:t>
            </w:r>
            <w:r w:rsidR="005D66AC" w:rsidRPr="009B75C5">
              <w:rPr>
                <w:rFonts w:ascii="Barlow" w:hAnsi="Barlow"/>
                <w:sz w:val="16"/>
                <w:szCs w:val="16"/>
              </w:rPr>
              <w:t xml:space="preserve">ya que se revisará, la vía para realizar la publicación de los medios de verificación del </w:t>
            </w:r>
            <w:r w:rsidRPr="009B75C5">
              <w:rPr>
                <w:rFonts w:ascii="Barlow" w:hAnsi="Barlow"/>
                <w:sz w:val="16"/>
                <w:szCs w:val="16"/>
              </w:rPr>
              <w:t>PP 451 Atención Integral en Alimentación a Personas Sujetas de Asistencia Social</w:t>
            </w:r>
            <w:r w:rsidR="005D66AC" w:rsidRPr="009B75C5">
              <w:rPr>
                <w:rFonts w:ascii="Barlow" w:hAnsi="Barlow"/>
                <w:sz w:val="16"/>
                <w:szCs w:val="16"/>
              </w:rPr>
              <w:t>.</w:t>
            </w:r>
          </w:p>
        </w:tc>
      </w:tr>
      <w:tr w:rsidR="00B32A4F" w:rsidRPr="00513510" w14:paraId="60776180" w14:textId="77777777" w:rsidTr="000B562D">
        <w:trPr>
          <w:trHeight w:val="1134"/>
        </w:trPr>
        <w:tc>
          <w:tcPr>
            <w:tcW w:w="484" w:type="pct"/>
            <w:shd w:val="clear" w:color="auto" w:fill="auto"/>
          </w:tcPr>
          <w:p w14:paraId="31C9F1F3" w14:textId="77777777" w:rsidR="00B32A4F" w:rsidRPr="009B75C5" w:rsidRDefault="00B32A4F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Planeación Estratégica</w:t>
            </w:r>
          </w:p>
        </w:tc>
        <w:tc>
          <w:tcPr>
            <w:tcW w:w="438" w:type="pct"/>
            <w:shd w:val="clear" w:color="auto" w:fill="auto"/>
          </w:tcPr>
          <w:p w14:paraId="2B53C953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  <w:shd w:val="clear" w:color="auto" w:fill="auto"/>
          </w:tcPr>
          <w:p w14:paraId="485F4B05" w14:textId="4F567CB4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Los medios de verificación de la MIR del programa Cohesión Social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encuentran limitados puesto que no son públicos.  </w:t>
            </w:r>
          </w:p>
          <w:p w14:paraId="0ACDDECE" w14:textId="77777777" w:rsidR="00B32A4F" w:rsidRPr="009B75C5" w:rsidRDefault="00B32A4F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16E92C1A" w14:textId="4D4B3270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recomienda que para todos los programas que ejercen recursos del FAM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AS se publiquen las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fuentes de información utilizadas para calcular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cada uno de los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indicadores, </w:t>
            </w:r>
            <w:r w:rsidR="00D7111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así como incorporarlas en la MIR.</w:t>
            </w:r>
          </w:p>
        </w:tc>
        <w:tc>
          <w:tcPr>
            <w:tcW w:w="288" w:type="pct"/>
            <w:shd w:val="clear" w:color="auto" w:fill="auto"/>
          </w:tcPr>
          <w:p w14:paraId="0A4D9BD1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5E5F6782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0D12C41D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23FA56DE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55E33D51" w14:textId="77777777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</w:t>
            </w:r>
            <w:r w:rsidRPr="009B75C5">
              <w:rPr>
                <w:rFonts w:ascii="Barlow" w:hAnsi="Barlow"/>
                <w:sz w:val="16"/>
                <w:szCs w:val="16"/>
              </w:rPr>
              <w:br/>
              <w:t>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09B42EE3" w14:textId="1BD6E504" w:rsidR="00B32A4F" w:rsidRPr="009B75C5" w:rsidRDefault="00B32A4F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El PP 85. Cohesión Social ha perdido vigencia a partir del ejercicio 2020</w:t>
            </w:r>
            <w:r w:rsidR="006E2B35" w:rsidRPr="009B75C5">
              <w:rPr>
                <w:rFonts w:ascii="Barlow" w:hAnsi="Barlow"/>
                <w:sz w:val="16"/>
                <w:szCs w:val="16"/>
              </w:rPr>
              <w:t xml:space="preserve"> y no es factible realizar la publicación de sus medios de verificación</w:t>
            </w:r>
            <w:r w:rsidRPr="009B75C5">
              <w:rPr>
                <w:rFonts w:ascii="Barlow" w:hAnsi="Barlow"/>
                <w:sz w:val="16"/>
                <w:szCs w:val="16"/>
              </w:rPr>
              <w:t>. No obstante se acepta parcialmente la recomendación, ya que se revisará en coordinación con la SAF y Desarrollo Social,</w:t>
            </w:r>
            <w:r w:rsidR="006E2B35" w:rsidRPr="009B75C5">
              <w:rPr>
                <w:rFonts w:ascii="Barlow" w:hAnsi="Barlow"/>
                <w:sz w:val="16"/>
                <w:szCs w:val="16"/>
              </w:rPr>
              <w:t xml:space="preserve"> la vía para realizarla publicación de los medios de verificación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</w:t>
            </w:r>
            <w:r w:rsidR="006E2B35" w:rsidRPr="009B75C5">
              <w:rPr>
                <w:rFonts w:ascii="Barlow" w:hAnsi="Barlow"/>
                <w:sz w:val="16"/>
                <w:szCs w:val="16"/>
              </w:rPr>
              <w:t>d</w:t>
            </w:r>
            <w:r w:rsidRPr="009B75C5">
              <w:rPr>
                <w:rFonts w:ascii="Barlow" w:hAnsi="Barlow"/>
                <w:sz w:val="16"/>
                <w:szCs w:val="16"/>
              </w:rPr>
              <w:t>el PP 476 Atención y desarrollo</w:t>
            </w:r>
            <w:r w:rsidR="006E2B35" w:rsidRPr="009B75C5">
              <w:rPr>
                <w:rFonts w:ascii="Barlow" w:hAnsi="Barlow"/>
                <w:sz w:val="16"/>
                <w:szCs w:val="16"/>
              </w:rPr>
              <w:t xml:space="preserve"> de las organizaciones sociales.</w:t>
            </w:r>
          </w:p>
        </w:tc>
      </w:tr>
      <w:tr w:rsidR="00BB6DC9" w:rsidRPr="00513510" w14:paraId="16ED4F85" w14:textId="77777777" w:rsidTr="000B562D">
        <w:trPr>
          <w:trHeight w:val="841"/>
        </w:trPr>
        <w:tc>
          <w:tcPr>
            <w:tcW w:w="484" w:type="pct"/>
            <w:shd w:val="clear" w:color="auto" w:fill="auto"/>
          </w:tcPr>
          <w:p w14:paraId="5EE45DB0" w14:textId="77777777" w:rsidR="00BB6DC9" w:rsidRPr="009B75C5" w:rsidRDefault="00BB6DC9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Planeación Estratégica</w:t>
            </w:r>
          </w:p>
        </w:tc>
        <w:tc>
          <w:tcPr>
            <w:tcW w:w="438" w:type="pct"/>
            <w:shd w:val="clear" w:color="auto" w:fill="auto"/>
          </w:tcPr>
          <w:p w14:paraId="79EB223E" w14:textId="77777777" w:rsidR="00BB6DC9" w:rsidRPr="009B75C5" w:rsidRDefault="00BB6DC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  <w:shd w:val="clear" w:color="auto" w:fill="auto"/>
          </w:tcPr>
          <w:p w14:paraId="4C8DA7A6" w14:textId="77777777" w:rsidR="00BB6DC9" w:rsidRPr="009B75C5" w:rsidRDefault="00BB6DC9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Los medios de verificación de la MIR del programa Sujetos en Condición de Vulnerabilidad se encuentran limitados puesto que no son públicos.  </w:t>
            </w:r>
          </w:p>
        </w:tc>
        <w:tc>
          <w:tcPr>
            <w:tcW w:w="829" w:type="pct"/>
            <w:shd w:val="clear" w:color="auto" w:fill="auto"/>
          </w:tcPr>
          <w:p w14:paraId="71656032" w14:textId="4BA2DAB3" w:rsidR="00BB6DC9" w:rsidRPr="009B75C5" w:rsidRDefault="00BB6DC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recomienda que para todos los programas que ejercen recursos del FAM </w:t>
            </w:r>
            <w:r w:rsidR="00601B88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AS se publiquen las </w:t>
            </w:r>
            <w:r w:rsidR="00601B88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fuentes de información utilizadas para calcular</w:t>
            </w:r>
            <w:r w:rsidR="00601B88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cada uno de los</w:t>
            </w:r>
            <w:r w:rsidR="00601B88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indicadores, así como incorporarlas en la MIR.</w:t>
            </w:r>
          </w:p>
        </w:tc>
        <w:tc>
          <w:tcPr>
            <w:tcW w:w="288" w:type="pct"/>
            <w:shd w:val="clear" w:color="auto" w:fill="auto"/>
          </w:tcPr>
          <w:p w14:paraId="592856A6" w14:textId="2C77AADC" w:rsidR="00BB6DC9" w:rsidRPr="009B75C5" w:rsidRDefault="00BB6DC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7B90FB23" w14:textId="7E9A6769" w:rsidR="00BB6DC9" w:rsidRPr="009B75C5" w:rsidRDefault="00BB6DC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03FF6FF2" w14:textId="6D7B4A72" w:rsidR="00BB6DC9" w:rsidRPr="009B75C5" w:rsidRDefault="00BB6DC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79763E8C" w14:textId="39AB0EED" w:rsidR="00BB6DC9" w:rsidRPr="009B75C5" w:rsidRDefault="00BB6DC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484A846F" w14:textId="1E620E2B" w:rsidR="00BB6DC9" w:rsidRPr="009B75C5" w:rsidRDefault="00BB6DC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Desarrollo Integral de la Familia en </w:t>
            </w:r>
            <w:r w:rsidR="00601B88" w:rsidRPr="009B75C5">
              <w:rPr>
                <w:rFonts w:ascii="Barlow" w:hAnsi="Barlow"/>
                <w:sz w:val="16"/>
                <w:szCs w:val="16"/>
              </w:rPr>
              <w:t>Yucatán</w:t>
            </w:r>
          </w:p>
        </w:tc>
        <w:tc>
          <w:tcPr>
            <w:tcW w:w="1073" w:type="pct"/>
            <w:shd w:val="clear" w:color="auto" w:fill="auto"/>
          </w:tcPr>
          <w:p w14:paraId="6DC76EAA" w14:textId="3BFAF491" w:rsidR="00BB6DC9" w:rsidRPr="009B75C5" w:rsidRDefault="00BB6DC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El PP 87. Programa Sujetos en Condiciones de Vulnerabilidad  ha perdido vigencia a partir del ejercicio 2020 y no es factible realizar la publicación de sus medios de verificación. No obstante se acepta parcialmente la recomendación, ya que se revisará en coordinación con la SAF y Desarrollo Social, la vía para realizarla publicación de los medios de verificación del PP 477 Asistencia Social a personas Vulnerables.</w:t>
            </w:r>
          </w:p>
        </w:tc>
      </w:tr>
      <w:tr w:rsidR="00BC2519" w:rsidRPr="00513510" w14:paraId="1BBB3058" w14:textId="77777777" w:rsidTr="00FE7253">
        <w:trPr>
          <w:trHeight w:val="70"/>
        </w:trPr>
        <w:tc>
          <w:tcPr>
            <w:tcW w:w="484" w:type="pct"/>
          </w:tcPr>
          <w:p w14:paraId="29105A0A" w14:textId="77777777" w:rsidR="00BC2519" w:rsidRPr="009B75C5" w:rsidRDefault="00BC2519" w:rsidP="009B75C5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Planeación Estratégica</w:t>
            </w:r>
          </w:p>
        </w:tc>
        <w:tc>
          <w:tcPr>
            <w:tcW w:w="438" w:type="pct"/>
          </w:tcPr>
          <w:p w14:paraId="735AF85D" w14:textId="77777777" w:rsidR="00BC2519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</w:tcPr>
          <w:p w14:paraId="03F6F39C" w14:textId="77777777" w:rsidR="00BC2519" w:rsidRPr="009B75C5" w:rsidRDefault="00BC2519" w:rsidP="009B75C5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Los medios de verificación de la MIR del programa Carencia por Atención Integral al Menor en Desamparo se encuentran limitados puesto que no son públicos.  </w:t>
            </w:r>
          </w:p>
        </w:tc>
        <w:tc>
          <w:tcPr>
            <w:tcW w:w="829" w:type="pct"/>
          </w:tcPr>
          <w:p w14:paraId="33EC69D6" w14:textId="436383BF" w:rsidR="00BC2519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recomienda que para todos los programas que ejercen recursos del FAM AS se publiquen las </w:t>
            </w:r>
            <w:r w:rsidR="006D2DF1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     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fuentes de información utilizadas para calcular </w:t>
            </w:r>
            <w:r w:rsidR="006D2DF1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cada uno de los </w:t>
            </w:r>
            <w:r w:rsidR="006D2DF1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indicadores, así como incorporarlas en la MIR.</w:t>
            </w:r>
          </w:p>
        </w:tc>
        <w:tc>
          <w:tcPr>
            <w:tcW w:w="288" w:type="pct"/>
          </w:tcPr>
          <w:p w14:paraId="0FA4F922" w14:textId="5E94458F" w:rsidR="00BC2519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46F63E48" w14:textId="793D61ED" w:rsidR="00BC2519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6FC01B15" w14:textId="42E2BF47" w:rsidR="00BC2519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37DBE70C" w14:textId="65ADDFB1" w:rsidR="00BC2519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0A3B78ED" w14:textId="6109B4A1" w:rsidR="00BC2519" w:rsidRPr="009B75C5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269ACD1A" w14:textId="7731CAC9" w:rsidR="00BC2519" w:rsidRPr="00FE7253" w:rsidRDefault="00BC2519" w:rsidP="009B75C5">
            <w:pPr>
              <w:rPr>
                <w:rFonts w:ascii="Barlow" w:hAnsi="Barlow"/>
                <w:sz w:val="16"/>
                <w:szCs w:val="16"/>
              </w:rPr>
            </w:pPr>
            <w:r w:rsidRPr="00FE7253">
              <w:rPr>
                <w:rFonts w:ascii="Barlow" w:hAnsi="Barlow"/>
                <w:sz w:val="16"/>
                <w:szCs w:val="16"/>
              </w:rPr>
              <w:t>Se acepta parcialmente la recomendación, específicamente la relacionada a publicar los medios de verificación. Respecto a la incorporación en la MIR se establecerá contacto con SAF para determinar la viabilidad.</w:t>
            </w:r>
          </w:p>
        </w:tc>
      </w:tr>
      <w:tr w:rsidR="00FE7253" w:rsidRPr="00513510" w14:paraId="0DEBD44A" w14:textId="77777777" w:rsidTr="00FE7253">
        <w:trPr>
          <w:trHeight w:val="841"/>
        </w:trPr>
        <w:tc>
          <w:tcPr>
            <w:tcW w:w="484" w:type="pct"/>
          </w:tcPr>
          <w:p w14:paraId="773A67E6" w14:textId="77777777" w:rsidR="00FE7253" w:rsidRPr="009B75C5" w:rsidRDefault="00FE7253" w:rsidP="00FE7253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Planeación Estratégica</w:t>
            </w:r>
          </w:p>
        </w:tc>
        <w:tc>
          <w:tcPr>
            <w:tcW w:w="438" w:type="pct"/>
          </w:tcPr>
          <w:p w14:paraId="16B0CAC8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Debilidad </w:t>
            </w:r>
          </w:p>
        </w:tc>
        <w:tc>
          <w:tcPr>
            <w:tcW w:w="589" w:type="pct"/>
          </w:tcPr>
          <w:p w14:paraId="1760279C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Los medios de verificación de la MIR del programa Atención al Desarrollo Infantil se encuentran limitados puesto que no son públicos.  </w:t>
            </w:r>
          </w:p>
          <w:p w14:paraId="5EDC540D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</w:tcPr>
          <w:p w14:paraId="45916265" w14:textId="50BAE40D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recomienda que para todos los programas que ejercen recursos del FAM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AS se publiquen las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fuentes de información utilizadas para calcular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cada uno de los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indicadores, así como incorporarlas en la MIR.</w:t>
            </w:r>
          </w:p>
        </w:tc>
        <w:tc>
          <w:tcPr>
            <w:tcW w:w="288" w:type="pct"/>
          </w:tcPr>
          <w:p w14:paraId="75789734" w14:textId="7F91047B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2E4D8FEA" w14:textId="7965D7F1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7096DEBE" w14:textId="531A4318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66EC1DF3" w14:textId="318CC404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0B45E7F2" w14:textId="6CD68E49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13DFDB46" w14:textId="1B4E80D0" w:rsidR="00FE7253" w:rsidRPr="00FE7253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FE7253">
              <w:rPr>
                <w:rFonts w:ascii="Barlow" w:hAnsi="Barlow"/>
                <w:sz w:val="16"/>
                <w:szCs w:val="16"/>
              </w:rPr>
              <w:t>Para el ejercicio 2019, la SAF no estableció indicadores a nivel actividad, únicamente se dio seguimiento a indicadores a nivel fin, propósito y componente. Asimismo, dicho PP ya perdió vigencia por lo que no se considera factible generar indicadores del nivel solicitado. Adicionalmente para el ejercicio   2020 ya se incluyen los indicadores a nivel actividad.</w:t>
            </w:r>
          </w:p>
        </w:tc>
      </w:tr>
      <w:tr w:rsidR="00FE7253" w:rsidRPr="00513510" w14:paraId="166023D4" w14:textId="77777777" w:rsidTr="000B562D">
        <w:trPr>
          <w:trHeight w:val="841"/>
        </w:trPr>
        <w:tc>
          <w:tcPr>
            <w:tcW w:w="484" w:type="pct"/>
          </w:tcPr>
          <w:p w14:paraId="2B3BD5C7" w14:textId="77777777" w:rsidR="00FE7253" w:rsidRPr="009B75C5" w:rsidRDefault="00FE7253" w:rsidP="00FE7253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Avance en el Cumplimiento de Resultados</w:t>
            </w:r>
          </w:p>
        </w:tc>
        <w:tc>
          <w:tcPr>
            <w:tcW w:w="438" w:type="pct"/>
          </w:tcPr>
          <w:p w14:paraId="3185044B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</w:tcPr>
          <w:p w14:paraId="57027248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No se pudo identificar el presupuesto ejercido en la Cuenta Pública Estatal, ya que esta no reporta la información financiera del Subfondo. </w:t>
            </w:r>
          </w:p>
          <w:p w14:paraId="13E72779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  <w:p w14:paraId="25E21557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SUBDIRECCIÓN ADMINISTRATIVA</w:t>
            </w:r>
          </w:p>
        </w:tc>
        <w:tc>
          <w:tcPr>
            <w:tcW w:w="829" w:type="pct"/>
          </w:tcPr>
          <w:p w14:paraId="6D596FE9" w14:textId="0D0F2F3D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Con base en el Artículo 171 de la Ley del Presupuesto y Contabilidad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Gubernamental del Estado de Yucatán, se recomienda que DIF Yucatán solicite a la Secretaría de Administración y Finanzas (SAF) la publicación de la información del FAM AS en la Cuenta Pública Estatal a razón de contribuir a la transparencia del ejercicio de los Recursos de Transferencia Federal y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que permita comparar la información con lo reportado a la Federación</w:t>
            </w:r>
          </w:p>
        </w:tc>
        <w:tc>
          <w:tcPr>
            <w:tcW w:w="288" w:type="pct"/>
          </w:tcPr>
          <w:p w14:paraId="1B273E86" w14:textId="5A6B7CD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288" w:type="pct"/>
          </w:tcPr>
          <w:p w14:paraId="4B965E57" w14:textId="68A12164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288" w:type="pct"/>
          </w:tcPr>
          <w:p w14:paraId="62AE0A44" w14:textId="088AD8A4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288" w:type="pct"/>
          </w:tcPr>
          <w:p w14:paraId="49CCCAAA" w14:textId="51A5C0DA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5087AE2E" w14:textId="5B5E6BBD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</w:tcPr>
          <w:p w14:paraId="7A8ECBDB" w14:textId="399CE9DE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No se acepta la recomendación, debido a que para el cumplimiento </w:t>
            </w:r>
            <w:r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>del artículo mencionado en la recomendación se tiene que  cumplir con el capítulo II Contabilidad de la misma ley Referida, del articulo 152 al 162 que establecen Para el registro</w:t>
            </w:r>
            <w:r>
              <w:rPr>
                <w:rFonts w:ascii="Barlow" w:hAnsi="Barlow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de las operaciones presupuestales y contables, los Ejecutores de Gasto deberán ajustar sus</w:t>
            </w:r>
            <w:r w:rsidRPr="009B75C5">
              <w:t xml:space="preserve"> </w:t>
            </w:r>
            <w:r w:rsidRPr="009B75C5">
              <w:rPr>
                <w:rFonts w:ascii="Barlow" w:hAnsi="Barlow"/>
                <w:sz w:val="16"/>
                <w:szCs w:val="16"/>
              </w:rPr>
              <w:t>catálogos de cuentas a los conceptos y</w:t>
            </w:r>
          </w:p>
          <w:p w14:paraId="532F7F4D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principales agregados a los lineamientos que emita el CONAC</w:t>
            </w:r>
          </w:p>
          <w:p w14:paraId="0031ED10" w14:textId="60F9998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La misma CONAC estableció las estructuras y formatos armonizados para la presentación de  la Cuenta Pública</w:t>
            </w:r>
          </w:p>
        </w:tc>
      </w:tr>
      <w:tr w:rsidR="00FE7253" w:rsidRPr="00513510" w14:paraId="3D8A05EB" w14:textId="77777777" w:rsidTr="00892202">
        <w:trPr>
          <w:trHeight w:val="841"/>
        </w:trPr>
        <w:tc>
          <w:tcPr>
            <w:tcW w:w="484" w:type="pct"/>
            <w:shd w:val="clear" w:color="auto" w:fill="auto"/>
          </w:tcPr>
          <w:p w14:paraId="014B4B85" w14:textId="77777777" w:rsidR="00FE7253" w:rsidRPr="009B75C5" w:rsidRDefault="00FE7253" w:rsidP="00FE7253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Avance en el Cumplimiento de Resultados</w:t>
            </w:r>
          </w:p>
        </w:tc>
        <w:tc>
          <w:tcPr>
            <w:tcW w:w="438" w:type="pct"/>
            <w:shd w:val="clear" w:color="auto" w:fill="auto"/>
          </w:tcPr>
          <w:p w14:paraId="409CE472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  <w:shd w:val="clear" w:color="auto" w:fill="auto"/>
          </w:tcPr>
          <w:p w14:paraId="5DF4BF1D" w14:textId="53C4BE64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De los cuatro indicadores para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el FAM AS de responsabilidad estatal, solo la mitad alcanzaron su meta programada.  </w:t>
            </w:r>
          </w:p>
          <w:p w14:paraId="1154A0EB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76AE01A1" w14:textId="3DC8ECE0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recomienda que se identifiquen los motivos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por los cuales no se logró cumplir con el 100 % de las metas programadas, y ajustar estas metas, si es necesario, usando de referencia la serie histórica de las mismas.</w:t>
            </w:r>
          </w:p>
        </w:tc>
        <w:tc>
          <w:tcPr>
            <w:tcW w:w="288" w:type="pct"/>
            <w:shd w:val="clear" w:color="auto" w:fill="auto"/>
          </w:tcPr>
          <w:p w14:paraId="0C81686A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5B8F65C6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274050C5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6967685C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3F1B869C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</w:t>
            </w:r>
            <w:r w:rsidRPr="009B75C5">
              <w:rPr>
                <w:rFonts w:ascii="Barlow" w:hAnsi="Barlow"/>
                <w:sz w:val="16"/>
                <w:szCs w:val="16"/>
              </w:rPr>
              <w:br/>
              <w:t>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2C4FF433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>
              <w:rPr>
                <w:rFonts w:ascii="Barlow" w:hAnsi="Barlow"/>
                <w:sz w:val="16"/>
                <w:szCs w:val="16"/>
              </w:rPr>
              <w:t>No se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acepta recomendación</w:t>
            </w:r>
            <w:r>
              <w:rPr>
                <w:rFonts w:ascii="Barlow" w:hAnsi="Barlow"/>
                <w:sz w:val="16"/>
                <w:szCs w:val="16"/>
              </w:rPr>
              <w:t>, debido a que el incumplimiento del 100% de las metas corresponde a factores externos a la operación de los programas y a la modificación de los criterios de evaluación establecidos por el DIF Nacional.</w:t>
            </w:r>
          </w:p>
          <w:p w14:paraId="30EE3593" w14:textId="5006B4B9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</w:p>
        </w:tc>
      </w:tr>
      <w:tr w:rsidR="00FE7253" w:rsidRPr="00513510" w14:paraId="0A7B65B6" w14:textId="77777777" w:rsidTr="00892202">
        <w:trPr>
          <w:trHeight w:val="841"/>
        </w:trPr>
        <w:tc>
          <w:tcPr>
            <w:tcW w:w="484" w:type="pct"/>
            <w:shd w:val="clear" w:color="auto" w:fill="auto"/>
          </w:tcPr>
          <w:p w14:paraId="7311E714" w14:textId="77777777" w:rsidR="00FE7253" w:rsidRPr="009B75C5" w:rsidRDefault="00FE7253" w:rsidP="00FE7253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Avance en el Cumplimiento de Resultados</w:t>
            </w:r>
          </w:p>
        </w:tc>
        <w:tc>
          <w:tcPr>
            <w:tcW w:w="438" w:type="pct"/>
            <w:shd w:val="clear" w:color="auto" w:fill="auto"/>
          </w:tcPr>
          <w:p w14:paraId="10DADAE3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  <w:shd w:val="clear" w:color="auto" w:fill="auto"/>
          </w:tcPr>
          <w:p w14:paraId="370BEA3E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La eficiencia y economía del Subfondo se clasifica como "débil". En términos generales esto se debe a que el Subfondo sólo logró alcanzar dos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de las cuatro metas programadas utilizando todo el recuso que se le asignó. </w:t>
            </w:r>
          </w:p>
          <w:p w14:paraId="5F2613B4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52CECFA9" w14:textId="71902865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>Se recomienda que el DIF Yucatán verifique el seguimiento del avance en el cumplimiento de los objetivos e identificar los motivos por los qué, aun ejerciendo todos los recursos asignados, no se cumplieron todas las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metas.</w:t>
            </w:r>
          </w:p>
        </w:tc>
        <w:tc>
          <w:tcPr>
            <w:tcW w:w="288" w:type="pct"/>
            <w:shd w:val="clear" w:color="auto" w:fill="auto"/>
          </w:tcPr>
          <w:p w14:paraId="6301561E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4551A0ED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679790BE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3C98B166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48DA70DE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</w:t>
            </w:r>
            <w:r w:rsidRPr="009B75C5">
              <w:rPr>
                <w:rFonts w:ascii="Barlow" w:hAnsi="Barlow"/>
                <w:sz w:val="16"/>
                <w:szCs w:val="16"/>
              </w:rPr>
              <w:br/>
              <w:t>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7F28D42E" w14:textId="14B87175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>
              <w:rPr>
                <w:rFonts w:ascii="Barlow" w:hAnsi="Barlow"/>
                <w:sz w:val="16"/>
                <w:szCs w:val="16"/>
              </w:rPr>
              <w:t>No se</w:t>
            </w:r>
            <w:r w:rsidRPr="009B75C5">
              <w:rPr>
                <w:rFonts w:ascii="Barlow" w:hAnsi="Barlow"/>
                <w:sz w:val="16"/>
                <w:szCs w:val="16"/>
              </w:rPr>
              <w:t xml:space="preserve"> acepta recomendación</w:t>
            </w:r>
            <w:r>
              <w:rPr>
                <w:rFonts w:ascii="Barlow" w:hAnsi="Barlow"/>
                <w:sz w:val="16"/>
                <w:szCs w:val="16"/>
              </w:rPr>
              <w:t>, debido a que el incumplimiento del 100% de las metas corresponde a factores externos a la operación de los programas y a la modificación de los criterios de evaluación establecidos por el DIF Nacional.</w:t>
            </w:r>
          </w:p>
          <w:p w14:paraId="5C60D940" w14:textId="3AF81F7F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</w:p>
        </w:tc>
      </w:tr>
      <w:tr w:rsidR="00FE7253" w:rsidRPr="00513510" w14:paraId="4DCC15ED" w14:textId="77777777" w:rsidTr="000B562D">
        <w:trPr>
          <w:trHeight w:val="70"/>
        </w:trPr>
        <w:tc>
          <w:tcPr>
            <w:tcW w:w="484" w:type="pct"/>
          </w:tcPr>
          <w:p w14:paraId="3AF9BB74" w14:textId="77777777" w:rsidR="00FE7253" w:rsidRPr="009B75C5" w:rsidRDefault="00FE7253" w:rsidP="00FE7253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Avance en el Cumplimiento de Resultados</w:t>
            </w:r>
          </w:p>
        </w:tc>
        <w:tc>
          <w:tcPr>
            <w:tcW w:w="438" w:type="pct"/>
          </w:tcPr>
          <w:p w14:paraId="19991DCC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</w:tcPr>
          <w:p w14:paraId="2218C79E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La evaluación del ejercicio 2017 no se capturó en el SRFT.  </w:t>
            </w:r>
          </w:p>
          <w:p w14:paraId="2BAECE31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SUBDIRECCIÓN ADMINISTRATIVA</w:t>
            </w:r>
          </w:p>
        </w:tc>
        <w:tc>
          <w:tcPr>
            <w:tcW w:w="829" w:type="pct"/>
          </w:tcPr>
          <w:p w14:paraId="6C2906D0" w14:textId="5F8AF30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Se recomienda que, para evaluaciones futuras, el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DIF Yucatán asuma la responsabilidad de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reportar en tiempo y forma los resultados de las evaluaciones de los PP y del Subfondo.  </w:t>
            </w:r>
          </w:p>
          <w:p w14:paraId="7CF751AB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</w:tcPr>
          <w:p w14:paraId="370513EB" w14:textId="6283B68B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58D9EF84" w14:textId="71FEDEEA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288" w:type="pct"/>
          </w:tcPr>
          <w:p w14:paraId="3BC6904B" w14:textId="59BAB0D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No </w:t>
            </w:r>
          </w:p>
        </w:tc>
        <w:tc>
          <w:tcPr>
            <w:tcW w:w="288" w:type="pct"/>
          </w:tcPr>
          <w:p w14:paraId="4B9A51F4" w14:textId="6A1F0F6E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7A46ED21" w14:textId="43AD3233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</w:tcPr>
          <w:p w14:paraId="0E0415FC" w14:textId="2A85A038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 se acepta recomendación, debido a que la responsabilidad de publicación de evaluaciones a los programas en el estado de Yucatán está a cargo de SEPLAN.  El Sistema para el Desarrollo Integral de la Familia solo tiene habilitado los módulos en el SRFT de Ejercicio del Gasto, Destino del Gasto e Indicadores</w:t>
            </w:r>
          </w:p>
        </w:tc>
      </w:tr>
      <w:tr w:rsidR="00FE7253" w:rsidRPr="00513510" w14:paraId="2104E3C7" w14:textId="77777777" w:rsidTr="000B562D">
        <w:trPr>
          <w:trHeight w:val="841"/>
        </w:trPr>
        <w:tc>
          <w:tcPr>
            <w:tcW w:w="484" w:type="pct"/>
          </w:tcPr>
          <w:p w14:paraId="2971F379" w14:textId="77777777" w:rsidR="00FE7253" w:rsidRPr="009B75C5" w:rsidRDefault="00FE7253" w:rsidP="00FE7253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Avance en el Cumplimiento de Resultados</w:t>
            </w:r>
          </w:p>
        </w:tc>
        <w:tc>
          <w:tcPr>
            <w:tcW w:w="438" w:type="pct"/>
          </w:tcPr>
          <w:p w14:paraId="139642A6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</w:tcPr>
          <w:p w14:paraId="06879E0B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La evaluación del ejercicio 2017 no se capturó en el SRFT.  </w:t>
            </w:r>
          </w:p>
          <w:p w14:paraId="1BC6C744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SUBDIRECCIÓN ADMINISTRATIVA</w:t>
            </w:r>
          </w:p>
        </w:tc>
        <w:tc>
          <w:tcPr>
            <w:tcW w:w="829" w:type="pct"/>
          </w:tcPr>
          <w:p w14:paraId="33D7492E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recomienda que la Seplan de seguimiento y acompañamiento en el proceso de reporte de las Evaluaciones en el PASH. </w:t>
            </w:r>
          </w:p>
          <w:p w14:paraId="651F3C81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</w:tcPr>
          <w:p w14:paraId="7A61160C" w14:textId="636048D1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7997CDDB" w14:textId="7FD66BA0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288" w:type="pct"/>
          </w:tcPr>
          <w:p w14:paraId="4FC1425E" w14:textId="5FEBDEA5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NO </w:t>
            </w:r>
          </w:p>
        </w:tc>
        <w:tc>
          <w:tcPr>
            <w:tcW w:w="288" w:type="pct"/>
          </w:tcPr>
          <w:p w14:paraId="441BFB12" w14:textId="76C9542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007BC31A" w14:textId="67BA440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Sistema para el Desarrollo Integral de la Familia en Yucatán</w:t>
            </w:r>
          </w:p>
        </w:tc>
        <w:tc>
          <w:tcPr>
            <w:tcW w:w="1073" w:type="pct"/>
          </w:tcPr>
          <w:p w14:paraId="26F85C97" w14:textId="6790E8A5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 se acepta recomendación, debido a que la responsabilidad de publicación de evaluaciones a los programas en el estado de Yucatán está a cargo de SEPLAN.  El Sistema para el Desarrollo Integral de la Familia solo tiene habilitado los módulos en el SRFT de Ejercicio del Gasto, Destino del Gasto e Indicadores</w:t>
            </w:r>
          </w:p>
        </w:tc>
      </w:tr>
      <w:tr w:rsidR="00FE7253" w:rsidRPr="00513510" w14:paraId="3A32E68D" w14:textId="77777777" w:rsidTr="000B562D">
        <w:trPr>
          <w:trHeight w:val="841"/>
        </w:trPr>
        <w:tc>
          <w:tcPr>
            <w:tcW w:w="484" w:type="pct"/>
            <w:shd w:val="clear" w:color="auto" w:fill="auto"/>
          </w:tcPr>
          <w:p w14:paraId="53A2FCE1" w14:textId="77777777" w:rsidR="00FE7253" w:rsidRPr="009B75C5" w:rsidRDefault="00FE7253" w:rsidP="00FE7253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Avance en el Cumplimiento de Resultados</w:t>
            </w:r>
          </w:p>
        </w:tc>
        <w:tc>
          <w:tcPr>
            <w:tcW w:w="438" w:type="pct"/>
            <w:shd w:val="clear" w:color="auto" w:fill="auto"/>
          </w:tcPr>
          <w:p w14:paraId="2ECC330C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  <w:shd w:val="clear" w:color="auto" w:fill="auto"/>
          </w:tcPr>
          <w:p w14:paraId="6ACF136C" w14:textId="6ABB4606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identifica que el Documento de Trabajo correspondiente a la evaluación realizada en 2017 se publicó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durante el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ejercicio 2020 debido a que se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menciona que las recomendaciones aceptadas quedaron sin efecto, una vez que a partir del ejercicio 2020 la Estructura Funcional Programática ha perdido vigencia. </w:t>
            </w:r>
          </w:p>
          <w:p w14:paraId="2528FBB0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ALIMENTACIÓN</w:t>
            </w:r>
          </w:p>
        </w:tc>
        <w:tc>
          <w:tcPr>
            <w:tcW w:w="829" w:type="pct"/>
            <w:shd w:val="clear" w:color="auto" w:fill="auto"/>
          </w:tcPr>
          <w:p w14:paraId="304C6688" w14:textId="55D56483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lastRenderedPageBreak/>
              <w:t xml:space="preserve">Se recomienda la elaboración y publicación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de los Documentos de Opinión y de Trabajo en tiempo y forma, de manera que sean solventados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antes de que pierdan vigencia.</w:t>
            </w:r>
          </w:p>
        </w:tc>
        <w:tc>
          <w:tcPr>
            <w:tcW w:w="288" w:type="pct"/>
            <w:shd w:val="clear" w:color="auto" w:fill="auto"/>
          </w:tcPr>
          <w:p w14:paraId="7E062FD7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4E665366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469A597B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  <w:shd w:val="clear" w:color="auto" w:fill="auto"/>
          </w:tcPr>
          <w:p w14:paraId="2A678CF7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435" w:type="pct"/>
            <w:shd w:val="clear" w:color="auto" w:fill="auto"/>
          </w:tcPr>
          <w:p w14:paraId="6197ABEE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Sistema para el </w:t>
            </w:r>
            <w:r w:rsidRPr="009B75C5">
              <w:rPr>
                <w:rFonts w:ascii="Barlow" w:hAnsi="Barlow"/>
                <w:sz w:val="16"/>
                <w:szCs w:val="16"/>
              </w:rPr>
              <w:br/>
              <w:t>Desarrollo integral de la Familia en Yucatán</w:t>
            </w:r>
          </w:p>
        </w:tc>
        <w:tc>
          <w:tcPr>
            <w:tcW w:w="1073" w:type="pct"/>
            <w:shd w:val="clear" w:color="auto" w:fill="auto"/>
          </w:tcPr>
          <w:p w14:paraId="12ABBF40" w14:textId="445D64C4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Se acepta parcialmente la recomendación.</w:t>
            </w:r>
          </w:p>
          <w:p w14:paraId="789751C9" w14:textId="16C7C39F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Los documentos de trabajo y de opinión correspondientes al ejercicio solicitado ya fueron elaborados y entregados para su publicación en el mes de junio del presente.</w:t>
            </w:r>
          </w:p>
          <w:p w14:paraId="61D4C267" w14:textId="14C5239C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 xml:space="preserve">Se tomará en cuenta la recomendación para  elaboración y </w:t>
            </w: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publicación de los documentos resultantes de evaluaciones posteriores.</w:t>
            </w:r>
          </w:p>
        </w:tc>
      </w:tr>
      <w:tr w:rsidR="00FE7253" w:rsidRPr="00513510" w14:paraId="1303B596" w14:textId="77777777" w:rsidTr="000B562D">
        <w:trPr>
          <w:trHeight w:val="841"/>
        </w:trPr>
        <w:tc>
          <w:tcPr>
            <w:tcW w:w="484" w:type="pct"/>
          </w:tcPr>
          <w:p w14:paraId="4DC36FBC" w14:textId="77777777" w:rsidR="00FE7253" w:rsidRPr="009B75C5" w:rsidRDefault="00FE7253" w:rsidP="00FE7253">
            <w:pPr>
              <w:jc w:val="center"/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lastRenderedPageBreak/>
              <w:t>Avance en el Cumplimiento de Resultados</w:t>
            </w:r>
          </w:p>
        </w:tc>
        <w:tc>
          <w:tcPr>
            <w:tcW w:w="438" w:type="pct"/>
          </w:tcPr>
          <w:p w14:paraId="5DA26832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Debilidad</w:t>
            </w:r>
          </w:p>
        </w:tc>
        <w:tc>
          <w:tcPr>
            <w:tcW w:w="589" w:type="pct"/>
          </w:tcPr>
          <w:p w14:paraId="3A842B65" w14:textId="54FB7014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Se cancelaron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ASM que 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derivaron de las evaluaciones realizadas en 2017 y 2018, estas cancelaciones se debieron a que perdieron vigencia. </w:t>
            </w:r>
          </w:p>
          <w:p w14:paraId="7B818460" w14:textId="77777777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</w:tcPr>
          <w:p w14:paraId="32C04A0A" w14:textId="36881272" w:rsidR="00FE7253" w:rsidRPr="009B75C5" w:rsidRDefault="00FE7253" w:rsidP="00FE7253">
            <w:pPr>
              <w:rPr>
                <w:rFonts w:ascii="Barlow" w:hAnsi="Barlow" w:cs="Calibri"/>
                <w:color w:val="000000"/>
                <w:sz w:val="16"/>
                <w:szCs w:val="16"/>
              </w:rPr>
            </w:pP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>Se recomienda que la Seplan defina en sus lineamientos los criterios para poder cancelar un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ASM, ya que estos no se encuentran actualmente</w:t>
            </w:r>
            <w:r>
              <w:rPr>
                <w:rFonts w:ascii="Barlow" w:hAnsi="Barlow" w:cs="Calibri"/>
                <w:color w:val="000000"/>
                <w:sz w:val="16"/>
                <w:szCs w:val="16"/>
              </w:rPr>
              <w:t xml:space="preserve">  </w:t>
            </w:r>
            <w:r w:rsidRPr="009B75C5">
              <w:rPr>
                <w:rFonts w:ascii="Barlow" w:hAnsi="Barlow" w:cs="Calibri"/>
                <w:color w:val="000000"/>
                <w:sz w:val="16"/>
                <w:szCs w:val="16"/>
              </w:rPr>
              <w:t xml:space="preserve"> en los mecanismos vigentes.</w:t>
            </w:r>
          </w:p>
        </w:tc>
        <w:tc>
          <w:tcPr>
            <w:tcW w:w="288" w:type="pct"/>
          </w:tcPr>
          <w:p w14:paraId="15E54285" w14:textId="3D39F2A2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1735967A" w14:textId="731E11E2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7DDA7599" w14:textId="63A0ED8E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Si</w:t>
            </w:r>
          </w:p>
        </w:tc>
        <w:tc>
          <w:tcPr>
            <w:tcW w:w="288" w:type="pct"/>
          </w:tcPr>
          <w:p w14:paraId="40DE6006" w14:textId="2FC65480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No</w:t>
            </w:r>
          </w:p>
        </w:tc>
        <w:tc>
          <w:tcPr>
            <w:tcW w:w="435" w:type="pct"/>
          </w:tcPr>
          <w:p w14:paraId="2E16A02C" w14:textId="77777777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</w:p>
        </w:tc>
        <w:tc>
          <w:tcPr>
            <w:tcW w:w="1073" w:type="pct"/>
          </w:tcPr>
          <w:p w14:paraId="350B713B" w14:textId="05A2DB7A" w:rsidR="00FE7253" w:rsidRPr="009B75C5" w:rsidRDefault="00FE7253" w:rsidP="00FE7253">
            <w:pPr>
              <w:rPr>
                <w:rFonts w:ascii="Barlow" w:hAnsi="Barlow"/>
                <w:sz w:val="16"/>
                <w:szCs w:val="16"/>
              </w:rPr>
            </w:pPr>
            <w:r w:rsidRPr="009B75C5">
              <w:rPr>
                <w:rFonts w:ascii="Barlow" w:hAnsi="Barlow"/>
                <w:sz w:val="16"/>
                <w:szCs w:val="16"/>
              </w:rPr>
              <w:t>El sistema para el Desarrollo integral de la familia mantendrá coordinación con SEPLAN para la consecución de esta recomendación</w:t>
            </w:r>
          </w:p>
        </w:tc>
      </w:tr>
    </w:tbl>
    <w:p w14:paraId="35B55F78" w14:textId="77777777" w:rsidR="00812DE9" w:rsidRDefault="00812DE9" w:rsidP="009B75C5">
      <w:pPr>
        <w:pStyle w:val="Ttulo3"/>
        <w:rPr>
          <w:rFonts w:ascii="Barlow" w:eastAsia="Times New Roman" w:hAnsi="Barlow"/>
          <w:sz w:val="23"/>
          <w:szCs w:val="23"/>
        </w:rPr>
      </w:pPr>
    </w:p>
    <w:p w14:paraId="7D35858E" w14:textId="77777777" w:rsidR="00812DE9" w:rsidRDefault="00812DE9" w:rsidP="00D01AFD">
      <w:pPr>
        <w:pStyle w:val="Ttulo3"/>
        <w:rPr>
          <w:rFonts w:ascii="Barlow" w:eastAsia="Times New Roman" w:hAnsi="Barlow"/>
          <w:sz w:val="23"/>
          <w:szCs w:val="23"/>
        </w:rPr>
      </w:pPr>
    </w:p>
    <w:p w14:paraId="163D7764" w14:textId="0A1C5D57" w:rsidR="00812DE9" w:rsidRDefault="00812DE9" w:rsidP="00D01AFD">
      <w:pPr>
        <w:pStyle w:val="Ttulo3"/>
        <w:rPr>
          <w:rFonts w:ascii="Barlow" w:eastAsia="Times New Roman" w:hAnsi="Barlow"/>
          <w:sz w:val="23"/>
          <w:szCs w:val="23"/>
        </w:rPr>
        <w:sectPr w:rsidR="00812DE9" w:rsidSect="002C3591">
          <w:headerReference w:type="default" r:id="rId10"/>
          <w:pgSz w:w="15840" w:h="12240" w:orient="landscape" w:code="1"/>
          <w:pgMar w:top="2268" w:right="1418" w:bottom="1701" w:left="1418" w:header="709" w:footer="709" w:gutter="0"/>
          <w:cols w:space="708"/>
          <w:docGrid w:linePitch="360"/>
        </w:sectPr>
      </w:pPr>
    </w:p>
    <w:p w14:paraId="22343DF3" w14:textId="3EE9465F" w:rsidR="00E2223C" w:rsidRPr="00513510" w:rsidRDefault="003B1018" w:rsidP="00CB0AC2">
      <w:pPr>
        <w:pStyle w:val="Ttulo3"/>
        <w:ind w:left="-851"/>
        <w:rPr>
          <w:rFonts w:ascii="Barlow" w:eastAsia="Times New Roman" w:hAnsi="Barlow"/>
          <w:sz w:val="23"/>
          <w:szCs w:val="23"/>
        </w:rPr>
      </w:pPr>
      <w:r w:rsidRPr="00513510">
        <w:rPr>
          <w:rFonts w:ascii="Barlow" w:eastAsia="Times New Roman" w:hAnsi="Barlow"/>
          <w:sz w:val="23"/>
          <w:szCs w:val="23"/>
        </w:rPr>
        <w:lastRenderedPageBreak/>
        <w:t>REFERENCIA A LAS FUENTES DE INFORMACIÓN UTILIZADAS</w:t>
      </w:r>
    </w:p>
    <w:p w14:paraId="49395F08" w14:textId="1527BFAC" w:rsidR="00B95696" w:rsidRDefault="00B95696" w:rsidP="00CB0AC2">
      <w:pPr>
        <w:pStyle w:val="Prrafodelista"/>
        <w:numPr>
          <w:ilvl w:val="0"/>
          <w:numId w:val="1"/>
        </w:numPr>
        <w:ind w:left="0"/>
        <w:rPr>
          <w:rFonts w:ascii="Barlow" w:eastAsia="Times New Roman" w:hAnsi="Barlow"/>
        </w:rPr>
      </w:pPr>
      <w:r w:rsidRPr="00513510">
        <w:rPr>
          <w:rFonts w:ascii="Barlow" w:eastAsia="Times New Roman" w:hAnsi="Barlow"/>
        </w:rPr>
        <w:t xml:space="preserve">Lineamientos generales del Sistema </w:t>
      </w:r>
      <w:r w:rsidR="00DF5CF8">
        <w:rPr>
          <w:rFonts w:ascii="Barlow" w:eastAsia="Times New Roman" w:hAnsi="Barlow"/>
        </w:rPr>
        <w:t>de Seguimiento y Evaluación del Desempeño</w:t>
      </w:r>
      <w:r w:rsidR="00CA1E47">
        <w:rPr>
          <w:rFonts w:ascii="Barlow" w:eastAsia="Times New Roman" w:hAnsi="Barlow"/>
        </w:rPr>
        <w:t>.</w:t>
      </w:r>
    </w:p>
    <w:p w14:paraId="5A92278A" w14:textId="06345440" w:rsidR="00CA1E47" w:rsidRDefault="00CA1E47" w:rsidP="00CB0AC2">
      <w:pPr>
        <w:pStyle w:val="Prrafodelista"/>
        <w:numPr>
          <w:ilvl w:val="0"/>
          <w:numId w:val="1"/>
        </w:numPr>
        <w:ind w:left="0"/>
        <w:rPr>
          <w:rFonts w:ascii="Barlow" w:eastAsia="Times New Roman" w:hAnsi="Barlow"/>
        </w:rPr>
      </w:pPr>
      <w:r w:rsidRPr="00CA1E47">
        <w:rPr>
          <w:rFonts w:ascii="Barlow" w:eastAsia="Times New Roman" w:hAnsi="Barlow"/>
        </w:rPr>
        <w:t>Mecanismos para el seguimiento de los Aspectos Susceptibles de Mejora</w:t>
      </w:r>
      <w:r>
        <w:rPr>
          <w:rFonts w:ascii="Barlow" w:eastAsia="Times New Roman" w:hAnsi="Barlow"/>
        </w:rPr>
        <w:t>.</w:t>
      </w:r>
    </w:p>
    <w:p w14:paraId="470CFCD7" w14:textId="6D16A786" w:rsidR="00FB05A9" w:rsidRPr="00CB0AC2" w:rsidRDefault="00DF5CF8" w:rsidP="00CB0AC2">
      <w:pPr>
        <w:pStyle w:val="Prrafodelista"/>
        <w:numPr>
          <w:ilvl w:val="0"/>
          <w:numId w:val="1"/>
        </w:numPr>
        <w:ind w:left="0"/>
        <w:rPr>
          <w:rFonts w:ascii="Barlow" w:eastAsia="Times New Roman" w:hAnsi="Barlow"/>
        </w:rPr>
      </w:pPr>
      <w:r w:rsidRPr="00CB0AC2">
        <w:rPr>
          <w:rFonts w:ascii="Barlow" w:eastAsia="Times New Roman" w:hAnsi="Barlow"/>
        </w:rPr>
        <w:t>Unidades básicas de P</w:t>
      </w:r>
      <w:r w:rsidR="00CB0AC2">
        <w:rPr>
          <w:rFonts w:ascii="Barlow" w:eastAsia="Times New Roman" w:hAnsi="Barlow"/>
        </w:rPr>
        <w:t>r</w:t>
      </w:r>
      <w:r w:rsidRPr="00CB0AC2">
        <w:rPr>
          <w:rFonts w:ascii="Barlow" w:eastAsia="Times New Roman" w:hAnsi="Barlow"/>
        </w:rPr>
        <w:t>esupestación del Sistema para el Desarrollo Integral de la Familia 2020</w:t>
      </w:r>
    </w:p>
    <w:p w14:paraId="3DD55181" w14:textId="472EA3CB" w:rsidR="00FB05A9" w:rsidRPr="00CB0AC2" w:rsidRDefault="00DF5CF8" w:rsidP="00CB0AC2">
      <w:pPr>
        <w:pStyle w:val="Prrafodelista"/>
        <w:numPr>
          <w:ilvl w:val="0"/>
          <w:numId w:val="1"/>
        </w:numPr>
        <w:ind w:left="0"/>
        <w:rPr>
          <w:rFonts w:ascii="Barlow" w:eastAsia="Times New Roman" w:hAnsi="Barlow"/>
        </w:rPr>
      </w:pPr>
      <w:r w:rsidRPr="00CB0AC2">
        <w:rPr>
          <w:rFonts w:ascii="Barlow" w:eastAsia="Times New Roman" w:hAnsi="Barlow"/>
        </w:rPr>
        <w:t>Tomo V Presupuesto basado en resultados 2020</w:t>
      </w:r>
    </w:p>
    <w:p w14:paraId="3A75A20B" w14:textId="3CBDFC7F" w:rsidR="00FB05A9" w:rsidRPr="00CB0AC2" w:rsidRDefault="00CB0AC2" w:rsidP="00CB0AC2">
      <w:pPr>
        <w:pStyle w:val="Prrafodelista"/>
        <w:numPr>
          <w:ilvl w:val="0"/>
          <w:numId w:val="1"/>
        </w:numPr>
        <w:ind w:left="0"/>
        <w:rPr>
          <w:rFonts w:ascii="Barlow" w:eastAsia="Times New Roman" w:hAnsi="Barlow"/>
        </w:rPr>
      </w:pPr>
      <w:r w:rsidRPr="00CB0AC2">
        <w:rPr>
          <w:rFonts w:ascii="Barlow" w:eastAsia="Times New Roman" w:hAnsi="Barlow"/>
        </w:rPr>
        <w:t>Estrategia Inte</w:t>
      </w:r>
      <w:bookmarkStart w:id="0" w:name="_GoBack"/>
      <w:bookmarkEnd w:id="0"/>
      <w:r w:rsidRPr="00CB0AC2">
        <w:rPr>
          <w:rFonts w:ascii="Barlow" w:eastAsia="Times New Roman" w:hAnsi="Barlow"/>
        </w:rPr>
        <w:t>gral de Asistencia Social Alimentaria y Desarrollo Comunitario 2020</w:t>
      </w:r>
    </w:p>
    <w:p w14:paraId="5F8C72EB" w14:textId="65F5C4F2" w:rsidR="00CB0AC2" w:rsidRPr="00CB0AC2" w:rsidRDefault="00CB0AC2" w:rsidP="00CB0AC2">
      <w:pPr>
        <w:pStyle w:val="Prrafodelista"/>
        <w:numPr>
          <w:ilvl w:val="0"/>
          <w:numId w:val="1"/>
        </w:numPr>
        <w:ind w:left="0"/>
        <w:rPr>
          <w:rFonts w:ascii="Barlow" w:eastAsia="Times New Roman" w:hAnsi="Barlow"/>
        </w:rPr>
      </w:pPr>
      <w:r w:rsidRPr="00CB0AC2">
        <w:rPr>
          <w:rFonts w:ascii="Barlow" w:eastAsia="Times New Roman" w:hAnsi="Barlow"/>
        </w:rPr>
        <w:t>Acuerdo por el que armoniza la estructura de las cuentas públicas CONAC</w:t>
      </w:r>
    </w:p>
    <w:p w14:paraId="20915EDE" w14:textId="54E52F1F" w:rsidR="00CB0AC2" w:rsidRPr="00CB0AC2" w:rsidRDefault="00CB0AC2" w:rsidP="00CB0AC2">
      <w:pPr>
        <w:pStyle w:val="Prrafodelista"/>
        <w:numPr>
          <w:ilvl w:val="0"/>
          <w:numId w:val="1"/>
        </w:numPr>
        <w:ind w:left="0"/>
        <w:rPr>
          <w:rFonts w:ascii="Barlow" w:eastAsia="Times New Roman" w:hAnsi="Barlow"/>
        </w:rPr>
      </w:pPr>
      <w:r w:rsidRPr="00CB0AC2">
        <w:rPr>
          <w:rFonts w:ascii="Barlow" w:eastAsia="Times New Roman" w:hAnsi="Barlow"/>
        </w:rPr>
        <w:t>Norma en materia de consolidación de Estados Financieros  y demás información contable</w:t>
      </w:r>
    </w:p>
    <w:p w14:paraId="0D3AE712" w14:textId="77777777" w:rsidR="00F93909" w:rsidRPr="00513510" w:rsidRDefault="00F93909" w:rsidP="00AE315B">
      <w:pPr>
        <w:ind w:left="360"/>
        <w:rPr>
          <w:rFonts w:ascii="Barlow" w:eastAsia="Times New Roman" w:hAnsi="Barlow"/>
        </w:rPr>
      </w:pPr>
    </w:p>
    <w:p w14:paraId="27BF4CD2" w14:textId="77777777" w:rsidR="00AF7EA4" w:rsidRPr="00513510" w:rsidRDefault="00AF7EA4">
      <w:pPr>
        <w:rPr>
          <w:rFonts w:ascii="Barlow" w:eastAsia="Times New Roman" w:hAnsi="Barlow"/>
          <w:b/>
          <w:bCs/>
          <w:sz w:val="23"/>
          <w:szCs w:val="23"/>
        </w:rPr>
      </w:pPr>
    </w:p>
    <w:p w14:paraId="70F2DF5D" w14:textId="77777777" w:rsidR="00E2223C" w:rsidRPr="00513510" w:rsidRDefault="003B1018">
      <w:pPr>
        <w:pStyle w:val="Ttulo3"/>
        <w:rPr>
          <w:rFonts w:ascii="Barlow" w:eastAsia="Times New Roman" w:hAnsi="Barlow"/>
          <w:sz w:val="23"/>
          <w:szCs w:val="23"/>
        </w:rPr>
      </w:pPr>
      <w:r w:rsidRPr="00513510">
        <w:rPr>
          <w:rFonts w:ascii="Barlow" w:eastAsia="Times New Roman" w:hAnsi="Barlow"/>
          <w:sz w:val="23"/>
          <w:szCs w:val="23"/>
        </w:rPr>
        <w:t>REFERENCIA DE LAS UNIDADES RESPONSABLES QUE PARTICIPARON EN SU ELABORACIÓN</w:t>
      </w:r>
    </w:p>
    <w:p w14:paraId="306FF323" w14:textId="77777777" w:rsidR="00AD6881" w:rsidRPr="00513510" w:rsidRDefault="003B1018" w:rsidP="00626DEC">
      <w:pPr>
        <w:jc w:val="center"/>
        <w:rPr>
          <w:rFonts w:ascii="Barlow" w:eastAsia="Times New Roman" w:hAnsi="Barlow"/>
          <w:b/>
          <w:bCs/>
        </w:rPr>
      </w:pPr>
      <w:r w:rsidRPr="00513510">
        <w:rPr>
          <w:rFonts w:ascii="Barlow" w:eastAsia="Times New Roman" w:hAnsi="Barlow"/>
        </w:rPr>
        <w:br/>
      </w:r>
      <w:r w:rsidRPr="00513510">
        <w:rPr>
          <w:rFonts w:ascii="Barlow" w:eastAsia="Times New Roman" w:hAnsi="Barlow"/>
        </w:rPr>
        <w:br/>
      </w:r>
      <w:r w:rsidRPr="00513510">
        <w:rPr>
          <w:rFonts w:ascii="Barlow" w:eastAsia="Times New Roman" w:hAnsi="Barlow"/>
          <w:b/>
          <w:bCs/>
        </w:rPr>
        <w:t>Coordinador:</w:t>
      </w:r>
    </w:p>
    <w:p w14:paraId="51CF6566" w14:textId="77777777" w:rsidR="00AD6881" w:rsidRPr="00513510" w:rsidRDefault="00AD6881" w:rsidP="00626DEC">
      <w:pPr>
        <w:jc w:val="center"/>
        <w:rPr>
          <w:rFonts w:ascii="Barlow" w:eastAsia="Times New Roman" w:hAnsi="Barlow"/>
          <w:b/>
          <w:bCs/>
        </w:rPr>
      </w:pPr>
    </w:p>
    <w:p w14:paraId="1C71D22C" w14:textId="77777777" w:rsidR="00AD6881" w:rsidRPr="00513510" w:rsidRDefault="00AD6881" w:rsidP="00626DEC">
      <w:pPr>
        <w:jc w:val="center"/>
        <w:rPr>
          <w:rFonts w:ascii="Barlow" w:eastAsia="Times New Roman" w:hAnsi="Barlow"/>
          <w:i/>
          <w:iCs/>
        </w:rPr>
      </w:pPr>
    </w:p>
    <w:p w14:paraId="5598ACD6" w14:textId="77777777" w:rsidR="00A66EC1" w:rsidRPr="00513510" w:rsidRDefault="00A66EC1" w:rsidP="00626DEC">
      <w:pPr>
        <w:jc w:val="center"/>
        <w:rPr>
          <w:rFonts w:ascii="Barlow" w:eastAsia="Times New Roman" w:hAnsi="Barlow"/>
        </w:rPr>
      </w:pPr>
      <w:r w:rsidRPr="00513510">
        <w:rPr>
          <w:rFonts w:ascii="Barlow" w:eastAsia="Times New Roman" w:hAnsi="Barlow"/>
        </w:rPr>
        <w:t>_____________________________________</w:t>
      </w:r>
    </w:p>
    <w:p w14:paraId="5D2B7930" w14:textId="33608DA5" w:rsidR="005F42D0" w:rsidRPr="00513510" w:rsidRDefault="00626DEC" w:rsidP="00626DEC">
      <w:pPr>
        <w:jc w:val="center"/>
        <w:rPr>
          <w:rFonts w:ascii="Barlow" w:eastAsia="Times New Roman" w:hAnsi="Barlow"/>
          <w:b/>
          <w:i/>
        </w:rPr>
      </w:pPr>
      <w:r>
        <w:rPr>
          <w:rFonts w:ascii="Barlow" w:eastAsia="Times New Roman" w:hAnsi="Barlow"/>
          <w:b/>
          <w:i/>
        </w:rPr>
        <w:t>Lic. María Cristina Castillo Espinoza</w:t>
      </w:r>
    </w:p>
    <w:p w14:paraId="67D51268" w14:textId="36DD9D51" w:rsidR="005F42D0" w:rsidRPr="00513510" w:rsidRDefault="00626DEC" w:rsidP="00626DEC">
      <w:pPr>
        <w:jc w:val="center"/>
        <w:rPr>
          <w:rFonts w:ascii="Barlow" w:eastAsia="Times New Roman" w:hAnsi="Barlow"/>
        </w:rPr>
      </w:pPr>
      <w:r>
        <w:rPr>
          <w:rFonts w:ascii="Barlow" w:eastAsia="Times New Roman" w:hAnsi="Barlow"/>
        </w:rPr>
        <w:t>Directora General</w:t>
      </w:r>
    </w:p>
    <w:p w14:paraId="73CF4928" w14:textId="243F81BA" w:rsidR="00AD6881" w:rsidRPr="00513510" w:rsidRDefault="00626DEC" w:rsidP="00626DEC">
      <w:pPr>
        <w:jc w:val="center"/>
        <w:rPr>
          <w:rFonts w:ascii="Barlow" w:eastAsia="Times New Roman" w:hAnsi="Barlow"/>
        </w:rPr>
      </w:pPr>
      <w:r>
        <w:rPr>
          <w:rFonts w:ascii="Barlow" w:eastAsia="Times New Roman" w:hAnsi="Barlow"/>
        </w:rPr>
        <w:t xml:space="preserve">Sistema para el Desarrollo Integral de la Familia en Yucatán </w:t>
      </w:r>
      <w:r w:rsidR="003B1018" w:rsidRPr="00513510">
        <w:rPr>
          <w:rFonts w:ascii="Barlow" w:eastAsia="Times New Roman" w:hAnsi="Barlow"/>
        </w:rPr>
        <w:br/>
      </w:r>
    </w:p>
    <w:p w14:paraId="72368621" w14:textId="77777777" w:rsidR="00A66EC1" w:rsidRPr="00513510" w:rsidRDefault="00A66EC1" w:rsidP="00811BA4">
      <w:pPr>
        <w:rPr>
          <w:rFonts w:ascii="Barlow" w:eastAsia="Times New Roman" w:hAnsi="Barlow"/>
        </w:rPr>
      </w:pPr>
    </w:p>
    <w:p w14:paraId="54DE12A9" w14:textId="0A0DA8DD" w:rsidR="00DF67B7" w:rsidRPr="00513510" w:rsidRDefault="00DF67B7" w:rsidP="00DF67B7">
      <w:pPr>
        <w:rPr>
          <w:rFonts w:ascii="Barlow" w:eastAsia="Times New Roman" w:hAnsi="Barlow"/>
        </w:rPr>
      </w:pPr>
    </w:p>
    <w:p w14:paraId="4913DA5C" w14:textId="19ACDE7B" w:rsidR="00DF67B7" w:rsidRPr="00513510" w:rsidRDefault="00DF67B7" w:rsidP="00DF67B7">
      <w:pPr>
        <w:rPr>
          <w:rFonts w:ascii="Barlow" w:eastAsia="Times New Roman" w:hAnsi="Barlow"/>
        </w:rPr>
      </w:pPr>
    </w:p>
    <w:p w14:paraId="17DFCD1B" w14:textId="7FCC5607" w:rsidR="00DF67B7" w:rsidRPr="00513510" w:rsidRDefault="00DF67B7" w:rsidP="00DF67B7">
      <w:pPr>
        <w:rPr>
          <w:rFonts w:ascii="Barlow" w:eastAsia="Times New Roman" w:hAnsi="Barlow"/>
        </w:rPr>
      </w:pPr>
    </w:p>
    <w:p w14:paraId="5D0D46D9" w14:textId="77777777" w:rsidR="00DF67B7" w:rsidRPr="00513510" w:rsidRDefault="00DF67B7" w:rsidP="00DF67B7">
      <w:pPr>
        <w:rPr>
          <w:rFonts w:ascii="Barlow" w:eastAsia="Times New Roman" w:hAnsi="Barlow"/>
        </w:rPr>
      </w:pPr>
    </w:p>
    <w:p w14:paraId="30DBF2F4" w14:textId="77777777" w:rsidR="00A96685" w:rsidRPr="00513510" w:rsidRDefault="00A96685" w:rsidP="005F42D0">
      <w:pPr>
        <w:rPr>
          <w:rFonts w:ascii="Barlow" w:eastAsia="Times New Roman" w:hAnsi="Barlow"/>
        </w:rPr>
      </w:pPr>
    </w:p>
    <w:sectPr w:rsidR="00A96685" w:rsidRPr="00513510" w:rsidSect="00CB0AC2">
      <w:headerReference w:type="default" r:id="rId11"/>
      <w:pgSz w:w="12242" w:h="15842" w:code="1"/>
      <w:pgMar w:top="1418" w:right="1469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CEE0" w14:textId="77777777" w:rsidR="008B4F5F" w:rsidRDefault="008B4F5F" w:rsidP="00045B3E">
      <w:r>
        <w:separator/>
      </w:r>
    </w:p>
  </w:endnote>
  <w:endnote w:type="continuationSeparator" w:id="0">
    <w:p w14:paraId="305AE7A0" w14:textId="77777777" w:rsidR="008B4F5F" w:rsidRDefault="008B4F5F" w:rsidP="0004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0876" w14:textId="57798C58" w:rsidR="00DA6BEA" w:rsidRDefault="00DA6BE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A47A6DF" wp14:editId="2B52AD7E">
              <wp:simplePos x="0" y="0"/>
              <wp:positionH relativeFrom="page">
                <wp:posOffset>2834374</wp:posOffset>
              </wp:positionH>
              <wp:positionV relativeFrom="paragraph">
                <wp:posOffset>-77101</wp:posOffset>
              </wp:positionV>
              <wp:extent cx="1714500" cy="396240"/>
              <wp:effectExtent l="0" t="0" r="0" b="3810"/>
              <wp:wrapTight wrapText="bothSides">
                <wp:wrapPolygon edited="0">
                  <wp:start x="480" y="0"/>
                  <wp:lineTo x="480" y="20769"/>
                  <wp:lineTo x="20880" y="20769"/>
                  <wp:lineTo x="20880" y="0"/>
                  <wp:lineTo x="480" y="0"/>
                </wp:wrapPolygon>
              </wp:wrapTight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98478" w14:textId="77777777" w:rsidR="00DA6BEA" w:rsidRPr="00DA6BEA" w:rsidRDefault="00DA6BEA" w:rsidP="00DA6BEA">
                          <w:pPr>
                            <w:spacing w:line="240" w:lineRule="exact"/>
                            <w:rPr>
                              <w:rFonts w:ascii="Barlow" w:hAnsi="Barlow"/>
                              <w:b/>
                              <w:color w:val="00A8E2"/>
                              <w:sz w:val="17"/>
                              <w:szCs w:val="17"/>
                              <w:lang w:val="en-US"/>
                            </w:rPr>
                          </w:pPr>
                          <w:r w:rsidRPr="00DA6BEA">
                            <w:rPr>
                              <w:rFonts w:ascii="Barlow" w:hAnsi="Barlow"/>
                              <w:b/>
                              <w:color w:val="00A8E2"/>
                              <w:sz w:val="17"/>
                              <w:szCs w:val="17"/>
                              <w:lang w:val="en-US"/>
                            </w:rPr>
                            <w:t xml:space="preserve">T </w:t>
                          </w:r>
                          <w:r w:rsidRPr="00DA6BEA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+52 (999) 9 42-20-30</w:t>
                          </w:r>
                        </w:p>
                        <w:p w14:paraId="48BB9FB3" w14:textId="77777777" w:rsidR="00DA6BEA" w:rsidRPr="00DA6BEA" w:rsidRDefault="00DA6BEA" w:rsidP="00DA6BEA">
                          <w:pPr>
                            <w:spacing w:line="240" w:lineRule="exact"/>
                            <w:rPr>
                              <w:rFonts w:ascii="Barlow" w:hAnsi="Barlow"/>
                              <w:b/>
                              <w:color w:val="0060A8"/>
                              <w:sz w:val="17"/>
                              <w:szCs w:val="17"/>
                              <w:lang w:val="en-US"/>
                            </w:rPr>
                          </w:pPr>
                          <w:r w:rsidRPr="00DA6BEA">
                            <w:rPr>
                              <w:rFonts w:ascii="Barlow" w:hAnsi="Barlow"/>
                              <w:b/>
                              <w:color w:val="0060A8"/>
                              <w:sz w:val="17"/>
                              <w:szCs w:val="17"/>
                              <w:lang w:val="en-US"/>
                            </w:rPr>
                            <w:t>www.dif.yucatan.gob.mx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7A6DF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23.2pt;margin-top:-6.05pt;width:135pt;height:31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bsA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" filled="f" stroked="f">
              <v:textbox>
                <w:txbxContent>
                  <w:p w14:paraId="19D98478" w14:textId="77777777" w:rsidR="00DA6BEA" w:rsidRPr="00DA6BEA" w:rsidRDefault="00DA6BEA" w:rsidP="00DA6BEA">
                    <w:pPr>
                      <w:spacing w:line="240" w:lineRule="exact"/>
                      <w:rPr>
                        <w:rFonts w:ascii="Barlow" w:hAnsi="Barlow"/>
                        <w:b/>
                        <w:color w:val="00A8E2"/>
                        <w:sz w:val="17"/>
                        <w:szCs w:val="17"/>
                        <w:lang w:val="en-US"/>
                      </w:rPr>
                    </w:pPr>
                    <w:r w:rsidRPr="00DA6BEA">
                      <w:rPr>
                        <w:rFonts w:ascii="Barlow" w:hAnsi="Barlow"/>
                        <w:b/>
                        <w:color w:val="00A8E2"/>
                        <w:sz w:val="17"/>
                        <w:szCs w:val="17"/>
                        <w:lang w:val="en-US"/>
                      </w:rPr>
                      <w:t xml:space="preserve">T </w:t>
                    </w:r>
                    <w:r w:rsidRPr="00DA6BEA">
                      <w:rPr>
                        <w:rFonts w:ascii="Barlow" w:hAnsi="Barlow"/>
                        <w:color w:val="0060A8"/>
                        <w:sz w:val="17"/>
                        <w:szCs w:val="17"/>
                        <w:lang w:val="en-US"/>
                      </w:rPr>
                      <w:t>+52 (999) 9 42-20-30</w:t>
                    </w:r>
                  </w:p>
                  <w:p w14:paraId="48BB9FB3" w14:textId="77777777" w:rsidR="00DA6BEA" w:rsidRPr="00DA6BEA" w:rsidRDefault="00DA6BEA" w:rsidP="00DA6BEA">
                    <w:pPr>
                      <w:spacing w:line="240" w:lineRule="exact"/>
                      <w:rPr>
                        <w:rFonts w:ascii="Barlow" w:hAnsi="Barlow"/>
                        <w:b/>
                        <w:color w:val="0060A8"/>
                        <w:sz w:val="17"/>
                        <w:szCs w:val="17"/>
                        <w:lang w:val="en-US"/>
                      </w:rPr>
                    </w:pPr>
                    <w:r w:rsidRPr="00DA6BEA">
                      <w:rPr>
                        <w:rFonts w:ascii="Barlow" w:hAnsi="Barlow"/>
                        <w:b/>
                        <w:color w:val="0060A8"/>
                        <w:sz w:val="17"/>
                        <w:szCs w:val="17"/>
                        <w:lang w:val="en-US"/>
                      </w:rPr>
                      <w:t>www.dif.yucatan.gob.mx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D139E5D" wp14:editId="085411B7">
              <wp:simplePos x="0" y="0"/>
              <wp:positionH relativeFrom="margin">
                <wp:align>left</wp:align>
              </wp:positionH>
              <wp:positionV relativeFrom="paragraph">
                <wp:posOffset>-209195</wp:posOffset>
              </wp:positionV>
              <wp:extent cx="1767840" cy="571500"/>
              <wp:effectExtent l="0" t="0" r="0" b="0"/>
              <wp:wrapTight wrapText="bothSides">
                <wp:wrapPolygon edited="0">
                  <wp:start x="466" y="0"/>
                  <wp:lineTo x="466" y="20880"/>
                  <wp:lineTo x="20716" y="20880"/>
                  <wp:lineTo x="20716" y="0"/>
                  <wp:lineTo x="466" y="0"/>
                </wp:wrapPolygon>
              </wp:wrapTight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78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F1459" w14:textId="77777777" w:rsidR="00DA6BEA" w:rsidRDefault="00DA6BEA" w:rsidP="00DA6BEA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Av. Alemán núm. 355</w:t>
                          </w:r>
                        </w:p>
                        <w:p w14:paraId="2BAC8DDF" w14:textId="77777777" w:rsidR="00DA6BEA" w:rsidRDefault="00DA6BEA" w:rsidP="00DA6BEA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Col. Itzimná</w:t>
                          </w:r>
                        </w:p>
                        <w:p w14:paraId="15CB814D" w14:textId="77777777" w:rsidR="00DA6BEA" w:rsidRDefault="00DA6BEA" w:rsidP="00DA6BEA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C.P. 97100  Mérida, Yuc. México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39E5D" id="Cuadro de texto 8" o:spid="_x0000_s1027" type="#_x0000_t202" style="position:absolute;margin-left:0;margin-top:-16.45pt;width:139.2pt;height:4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" filled="f" stroked="f">
              <v:textbox>
                <w:txbxContent>
                  <w:p w14:paraId="64AF1459" w14:textId="77777777" w:rsidR="00DA6BEA" w:rsidRDefault="00DA6BEA" w:rsidP="00DA6BEA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Av. Alemán núm. 355</w:t>
                    </w:r>
                  </w:p>
                  <w:p w14:paraId="2BAC8DDF" w14:textId="77777777" w:rsidR="00DA6BEA" w:rsidRDefault="00DA6BEA" w:rsidP="00DA6BEA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Col. Itzimná</w:t>
                    </w:r>
                  </w:p>
                  <w:p w14:paraId="15CB814D" w14:textId="77777777" w:rsidR="00DA6BEA" w:rsidRDefault="00DA6BEA" w:rsidP="00DA6BEA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C.P. 97100  Mérida, Yuc. México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E8423" w14:textId="77777777" w:rsidR="008B4F5F" w:rsidRDefault="008B4F5F" w:rsidP="00045B3E">
      <w:r>
        <w:separator/>
      </w:r>
    </w:p>
  </w:footnote>
  <w:footnote w:type="continuationSeparator" w:id="0">
    <w:p w14:paraId="5943DDFA" w14:textId="77777777" w:rsidR="008B4F5F" w:rsidRDefault="008B4F5F" w:rsidP="00045B3E">
      <w:r>
        <w:continuationSeparator/>
      </w:r>
    </w:p>
  </w:footnote>
  <w:footnote w:id="1">
    <w:p w14:paraId="1059E41B" w14:textId="77777777" w:rsidR="00B32A4F" w:rsidRPr="009A3386" w:rsidRDefault="00B32A4F" w:rsidP="00B32A4F">
      <w:pPr>
        <w:pStyle w:val="Textocomentario"/>
        <w:rPr>
          <w:rFonts w:ascii="Barlow" w:hAnsi="Barlow"/>
        </w:rPr>
      </w:pPr>
      <w:r w:rsidRPr="009A3386">
        <w:rPr>
          <w:rStyle w:val="Refdenotaalpie"/>
          <w:rFonts w:ascii="Barlow" w:hAnsi="Barlow"/>
        </w:rPr>
        <w:footnoteRef/>
      </w:r>
      <w:r w:rsidRPr="009A3386">
        <w:rPr>
          <w:rFonts w:ascii="Barlow" w:hAnsi="Barlow"/>
        </w:rPr>
        <w:t xml:space="preserve"> </w:t>
      </w:r>
      <w:r w:rsidRPr="009A3386">
        <w:rPr>
          <w:rFonts w:ascii="Barlow" w:hAnsi="Barlow"/>
          <w:lang w:val="es-ES"/>
        </w:rPr>
        <w:t xml:space="preserve">Criterio 1: </w:t>
      </w:r>
      <w:r w:rsidRPr="009A3386">
        <w:rPr>
          <w:rFonts w:ascii="Barlow" w:hAnsi="Barlow"/>
        </w:rPr>
        <w:t>¿La recomendación es acordé a la conclusión?</w:t>
      </w:r>
    </w:p>
  </w:footnote>
  <w:footnote w:id="2">
    <w:p w14:paraId="6390A484" w14:textId="77777777" w:rsidR="00B32A4F" w:rsidRPr="009A3386" w:rsidRDefault="00B32A4F" w:rsidP="00B32A4F">
      <w:pPr>
        <w:pStyle w:val="Textonotapie"/>
        <w:rPr>
          <w:rFonts w:ascii="Barlow" w:hAnsi="Barlow"/>
          <w:lang w:val="es-ES"/>
        </w:rPr>
      </w:pPr>
      <w:r w:rsidRPr="009A3386">
        <w:rPr>
          <w:rStyle w:val="Refdenotaalpie"/>
          <w:rFonts w:ascii="Barlow" w:hAnsi="Barlow"/>
        </w:rPr>
        <w:footnoteRef/>
      </w:r>
      <w:r w:rsidRPr="009A3386">
        <w:rPr>
          <w:rFonts w:ascii="Barlow" w:hAnsi="Barlow"/>
        </w:rPr>
        <w:t xml:space="preserve"> </w:t>
      </w:r>
      <w:r w:rsidRPr="009A3386">
        <w:rPr>
          <w:rFonts w:ascii="Barlow" w:hAnsi="Barlow"/>
          <w:lang w:val="es-ES"/>
        </w:rPr>
        <w:t xml:space="preserve">Criterio 2: </w:t>
      </w:r>
      <w:r w:rsidRPr="009A3386">
        <w:rPr>
          <w:rFonts w:ascii="Barlow" w:hAnsi="Barlow"/>
        </w:rPr>
        <w:t>¿La recomendación es clara?</w:t>
      </w:r>
    </w:p>
  </w:footnote>
  <w:footnote w:id="3">
    <w:p w14:paraId="3F044B72" w14:textId="77777777" w:rsidR="00B32A4F" w:rsidRPr="009A3386" w:rsidRDefault="00B32A4F" w:rsidP="00B32A4F">
      <w:pPr>
        <w:pStyle w:val="Textonotapie"/>
        <w:rPr>
          <w:rFonts w:ascii="Barlow" w:hAnsi="Barlow"/>
          <w:lang w:val="es-ES"/>
        </w:rPr>
      </w:pPr>
      <w:r w:rsidRPr="009A3386">
        <w:rPr>
          <w:rStyle w:val="Refdenotaalpie"/>
          <w:rFonts w:ascii="Barlow" w:hAnsi="Barlow"/>
        </w:rPr>
        <w:footnoteRef/>
      </w:r>
      <w:r w:rsidRPr="009A3386">
        <w:rPr>
          <w:rFonts w:ascii="Barlow" w:hAnsi="Barlow"/>
        </w:rPr>
        <w:t xml:space="preserve"> </w:t>
      </w:r>
      <w:r w:rsidRPr="009A3386">
        <w:rPr>
          <w:rFonts w:ascii="Barlow" w:hAnsi="Barlow"/>
          <w:lang w:val="es-ES"/>
        </w:rPr>
        <w:t xml:space="preserve">Criterio 3: </w:t>
      </w:r>
      <w:r w:rsidRPr="009A3386">
        <w:rPr>
          <w:rFonts w:ascii="Barlow" w:hAnsi="Barlow"/>
        </w:rPr>
        <w:t>¿La recomendación es útil?</w:t>
      </w:r>
    </w:p>
  </w:footnote>
  <w:footnote w:id="4">
    <w:p w14:paraId="22CF390B" w14:textId="77777777" w:rsidR="00B32A4F" w:rsidRPr="00E151DE" w:rsidRDefault="00B32A4F" w:rsidP="00B32A4F">
      <w:pPr>
        <w:pStyle w:val="Textonotapie"/>
        <w:rPr>
          <w:lang w:val="es-ES"/>
        </w:rPr>
      </w:pPr>
      <w:r w:rsidRPr="009A3386">
        <w:rPr>
          <w:rStyle w:val="Refdenotaalpie"/>
          <w:rFonts w:ascii="Barlow" w:hAnsi="Barlow"/>
        </w:rPr>
        <w:footnoteRef/>
      </w:r>
      <w:r w:rsidRPr="009A3386">
        <w:rPr>
          <w:rFonts w:ascii="Barlow" w:hAnsi="Barlow"/>
        </w:rPr>
        <w:t xml:space="preserve"> </w:t>
      </w:r>
      <w:r w:rsidRPr="009A3386">
        <w:rPr>
          <w:rFonts w:ascii="Barlow" w:hAnsi="Barlow"/>
          <w:lang w:val="es-ES"/>
        </w:rPr>
        <w:t xml:space="preserve">Criterio 4: </w:t>
      </w:r>
      <w:r w:rsidRPr="009A3386">
        <w:rPr>
          <w:rFonts w:ascii="Barlow" w:hAnsi="Barlow"/>
        </w:rPr>
        <w:t>¿Es factible atender la recomendación?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8828C" w14:textId="1D2F74C3" w:rsidR="00A96685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60634D" wp14:editId="4BABC32C">
          <wp:simplePos x="0" y="0"/>
          <wp:positionH relativeFrom="page">
            <wp:align>right</wp:align>
          </wp:positionH>
          <wp:positionV relativeFrom="paragraph">
            <wp:posOffset>-546367</wp:posOffset>
          </wp:positionV>
          <wp:extent cx="7724140" cy="15641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0" b="86891"/>
                  <a:stretch/>
                </pic:blipFill>
                <pic:spPr bwMode="auto">
                  <a:xfrm>
                    <a:off x="0" y="0"/>
                    <a:ext cx="7724140" cy="1564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966">
      <w:rPr>
        <w:noProof/>
      </w:rPr>
      <w:tab/>
    </w:r>
  </w:p>
  <w:p w14:paraId="4E44EFED" w14:textId="45B53AFA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</w:p>
  <w:p w14:paraId="54A46787" w14:textId="422496A9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</w:p>
  <w:p w14:paraId="10B4AB76" w14:textId="42CA2219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</w:p>
  <w:p w14:paraId="0EB188A9" w14:textId="4BD46461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</w:p>
  <w:p w14:paraId="2E1BC4CA" w14:textId="77777777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DE84F" w14:textId="6D09E07C" w:rsidR="00A45124" w:rsidRPr="00DC5976" w:rsidRDefault="00DA6BEA" w:rsidP="00507966">
    <w:pPr>
      <w:pStyle w:val="Encabezado"/>
      <w:tabs>
        <w:tab w:val="clear" w:pos="4419"/>
        <w:tab w:val="clear" w:pos="8838"/>
        <w:tab w:val="left" w:pos="3819"/>
      </w:tabs>
      <w:rPr>
        <w:noProof/>
        <w:color w:val="F2F2F2" w:themeColor="background1" w:themeShade="F2"/>
      </w:rPr>
    </w:pPr>
    <w:r w:rsidRPr="00DC5976">
      <w:rPr>
        <w:noProof/>
        <w:color w:val="F2F2F2" w:themeColor="background1" w:themeShade="F2"/>
      </w:rPr>
      <w:drawing>
        <wp:anchor distT="0" distB="0" distL="114300" distR="114300" simplePos="0" relativeHeight="251660288" behindDoc="1" locked="0" layoutInCell="1" allowOverlap="1" wp14:anchorId="0E7AA531" wp14:editId="07AB9A00">
          <wp:simplePos x="0" y="0"/>
          <wp:positionH relativeFrom="page">
            <wp:posOffset>0</wp:posOffset>
          </wp:positionH>
          <wp:positionV relativeFrom="paragraph">
            <wp:posOffset>-217805</wp:posOffset>
          </wp:positionV>
          <wp:extent cx="4931410" cy="1181100"/>
          <wp:effectExtent l="0" t="0" r="2540" b="0"/>
          <wp:wrapTight wrapText="bothSides">
            <wp:wrapPolygon edited="0">
              <wp:start x="167" y="0"/>
              <wp:lineTo x="167" y="21252"/>
              <wp:lineTo x="21528" y="21252"/>
              <wp:lineTo x="21528" y="0"/>
              <wp:lineTo x="167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7" t="146" r="43711" b="89657"/>
                  <a:stretch/>
                </pic:blipFill>
                <pic:spPr bwMode="auto">
                  <a:xfrm>
                    <a:off x="0" y="0"/>
                    <a:ext cx="493141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5976">
      <w:rPr>
        <w:noProof/>
        <w:color w:val="F2F2F2" w:themeColor="background1" w:themeShade="F2"/>
      </w:rPr>
      <w:drawing>
        <wp:anchor distT="0" distB="0" distL="114300" distR="114300" simplePos="0" relativeHeight="251664384" behindDoc="1" locked="0" layoutInCell="1" allowOverlap="1" wp14:anchorId="61F3B3C2" wp14:editId="374A254D">
          <wp:simplePos x="0" y="0"/>
          <wp:positionH relativeFrom="page">
            <wp:posOffset>10491537</wp:posOffset>
          </wp:positionH>
          <wp:positionV relativeFrom="paragraph">
            <wp:posOffset>-450215</wp:posOffset>
          </wp:positionV>
          <wp:extent cx="2308218" cy="15633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69" t="-380" b="86891"/>
                  <a:stretch/>
                </pic:blipFill>
                <pic:spPr bwMode="auto">
                  <a:xfrm>
                    <a:off x="0" y="0"/>
                    <a:ext cx="2309120" cy="15639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5E8E1" w14:textId="5E2A7732" w:rsidR="00A45124" w:rsidRPr="00DC5976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  <w:color w:val="F2F2F2" w:themeColor="background1" w:themeShade="F2"/>
      </w:rPr>
    </w:pPr>
  </w:p>
  <w:p w14:paraId="723C2013" w14:textId="77777777" w:rsidR="00A45124" w:rsidRPr="00DC5976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  <w:color w:val="F2F2F2" w:themeColor="background1" w:themeShade="F2"/>
      </w:rPr>
    </w:pPr>
  </w:p>
  <w:p w14:paraId="07A76BEC" w14:textId="5DF2BF79" w:rsidR="00A45124" w:rsidRPr="00DC5976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  <w:color w:val="F2F2F2" w:themeColor="background1" w:themeShade="F2"/>
      </w:rPr>
    </w:pPr>
  </w:p>
  <w:p w14:paraId="44A85E32" w14:textId="77777777" w:rsidR="00DA6BEA" w:rsidRPr="00DC5976" w:rsidRDefault="00DA6BEA" w:rsidP="00507966">
    <w:pPr>
      <w:pStyle w:val="Encabezado"/>
      <w:tabs>
        <w:tab w:val="clear" w:pos="4419"/>
        <w:tab w:val="clear" w:pos="8838"/>
        <w:tab w:val="left" w:pos="3819"/>
      </w:tabs>
      <w:rPr>
        <w:noProof/>
        <w:color w:val="F2F2F2" w:themeColor="background1" w:themeShade="F2"/>
      </w:rPr>
    </w:pPr>
  </w:p>
  <w:p w14:paraId="3CE3E951" w14:textId="77777777" w:rsidR="00A45124" w:rsidRPr="00DC5976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color w:val="F2F2F2" w:themeColor="background1" w:themeShade="F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E379" w14:textId="77777777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05316A2" wp14:editId="2E981507">
          <wp:simplePos x="0" y="0"/>
          <wp:positionH relativeFrom="page">
            <wp:align>right</wp:align>
          </wp:positionH>
          <wp:positionV relativeFrom="paragraph">
            <wp:posOffset>-546367</wp:posOffset>
          </wp:positionV>
          <wp:extent cx="7724140" cy="15641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0" b="86891"/>
                  <a:stretch/>
                </pic:blipFill>
                <pic:spPr bwMode="auto">
                  <a:xfrm>
                    <a:off x="0" y="0"/>
                    <a:ext cx="7724140" cy="1564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58AA8D78" w14:textId="77777777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</w:p>
  <w:p w14:paraId="22021FBE" w14:textId="77777777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</w:p>
  <w:p w14:paraId="46888C1F" w14:textId="77777777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</w:p>
  <w:p w14:paraId="7F7461C4" w14:textId="77777777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  <w:rPr>
        <w:noProof/>
      </w:rPr>
    </w:pPr>
  </w:p>
  <w:p w14:paraId="2ED79A9C" w14:textId="77777777" w:rsidR="00A45124" w:rsidRDefault="00A45124" w:rsidP="00507966">
    <w:pPr>
      <w:pStyle w:val="Encabezado"/>
      <w:tabs>
        <w:tab w:val="clear" w:pos="4419"/>
        <w:tab w:val="clear" w:pos="8838"/>
        <w:tab w:val="left" w:pos="3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EF2"/>
    <w:multiLevelType w:val="hybridMultilevel"/>
    <w:tmpl w:val="0C7EBDAC"/>
    <w:lvl w:ilvl="0" w:tplc="241E206E">
      <w:start w:val="4"/>
      <w:numFmt w:val="decimal"/>
      <w:lvlText w:val="%1."/>
      <w:lvlJc w:val="left"/>
      <w:pPr>
        <w:ind w:left="922" w:hanging="360"/>
      </w:pPr>
      <w:rPr>
        <w:rFonts w:ascii="Tahoma" w:eastAsia="Tahoma" w:hAnsi="Tahoma" w:cs="Tahoma" w:hint="default"/>
        <w:b/>
        <w:bCs/>
        <w:color w:val="1D1D1B"/>
        <w:spacing w:val="0"/>
        <w:w w:val="91"/>
        <w:sz w:val="32"/>
        <w:szCs w:val="32"/>
        <w:lang w:val="es-ES" w:eastAsia="es-ES" w:bidi="es-ES"/>
      </w:rPr>
    </w:lvl>
    <w:lvl w:ilvl="1" w:tplc="85EACE68">
      <w:numFmt w:val="bullet"/>
      <w:lvlText w:val="•"/>
      <w:lvlJc w:val="left"/>
      <w:pPr>
        <w:ind w:left="1750" w:hanging="360"/>
      </w:pPr>
      <w:rPr>
        <w:rFonts w:hint="default"/>
        <w:lang w:val="es-ES" w:eastAsia="es-ES" w:bidi="es-ES"/>
      </w:rPr>
    </w:lvl>
    <w:lvl w:ilvl="2" w:tplc="EB8E6F72">
      <w:numFmt w:val="bullet"/>
      <w:lvlText w:val="•"/>
      <w:lvlJc w:val="left"/>
      <w:pPr>
        <w:ind w:left="2580" w:hanging="360"/>
      </w:pPr>
      <w:rPr>
        <w:rFonts w:hint="default"/>
        <w:lang w:val="es-ES" w:eastAsia="es-ES" w:bidi="es-ES"/>
      </w:rPr>
    </w:lvl>
    <w:lvl w:ilvl="3" w:tplc="E584A762">
      <w:numFmt w:val="bullet"/>
      <w:lvlText w:val="•"/>
      <w:lvlJc w:val="left"/>
      <w:pPr>
        <w:ind w:left="3410" w:hanging="360"/>
      </w:pPr>
      <w:rPr>
        <w:rFonts w:hint="default"/>
        <w:lang w:val="es-ES" w:eastAsia="es-ES" w:bidi="es-ES"/>
      </w:rPr>
    </w:lvl>
    <w:lvl w:ilvl="4" w:tplc="086C61B2">
      <w:numFmt w:val="bullet"/>
      <w:lvlText w:val="•"/>
      <w:lvlJc w:val="left"/>
      <w:pPr>
        <w:ind w:left="4240" w:hanging="360"/>
      </w:pPr>
      <w:rPr>
        <w:rFonts w:hint="default"/>
        <w:lang w:val="es-ES" w:eastAsia="es-ES" w:bidi="es-ES"/>
      </w:rPr>
    </w:lvl>
    <w:lvl w:ilvl="5" w:tplc="6CAEB090">
      <w:numFmt w:val="bullet"/>
      <w:lvlText w:val="•"/>
      <w:lvlJc w:val="left"/>
      <w:pPr>
        <w:ind w:left="5070" w:hanging="360"/>
      </w:pPr>
      <w:rPr>
        <w:rFonts w:hint="default"/>
        <w:lang w:val="es-ES" w:eastAsia="es-ES" w:bidi="es-ES"/>
      </w:rPr>
    </w:lvl>
    <w:lvl w:ilvl="6" w:tplc="0486CEF0">
      <w:numFmt w:val="bullet"/>
      <w:lvlText w:val="•"/>
      <w:lvlJc w:val="left"/>
      <w:pPr>
        <w:ind w:left="5900" w:hanging="360"/>
      </w:pPr>
      <w:rPr>
        <w:rFonts w:hint="default"/>
        <w:lang w:val="es-ES" w:eastAsia="es-ES" w:bidi="es-ES"/>
      </w:rPr>
    </w:lvl>
    <w:lvl w:ilvl="7" w:tplc="4CC4690C">
      <w:numFmt w:val="bullet"/>
      <w:lvlText w:val="•"/>
      <w:lvlJc w:val="left"/>
      <w:pPr>
        <w:ind w:left="6730" w:hanging="360"/>
      </w:pPr>
      <w:rPr>
        <w:rFonts w:hint="default"/>
        <w:lang w:val="es-ES" w:eastAsia="es-ES" w:bidi="es-ES"/>
      </w:rPr>
    </w:lvl>
    <w:lvl w:ilvl="8" w:tplc="5E2406B2">
      <w:numFmt w:val="bullet"/>
      <w:lvlText w:val="•"/>
      <w:lvlJc w:val="left"/>
      <w:pPr>
        <w:ind w:left="7560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72550E5"/>
    <w:multiLevelType w:val="multilevel"/>
    <w:tmpl w:val="DA384684"/>
    <w:lvl w:ilvl="0">
      <w:start w:val="2"/>
      <w:numFmt w:val="decimal"/>
      <w:lvlText w:val="%1"/>
      <w:lvlJc w:val="left"/>
      <w:pPr>
        <w:ind w:left="115" w:hanging="535"/>
      </w:pPr>
      <w:rPr>
        <w:rFonts w:hint="default"/>
        <w:lang w:val="es-ES" w:eastAsia="es-ES" w:bidi="es-ES"/>
      </w:rPr>
    </w:lvl>
    <w:lvl w:ilvl="1">
      <w:start w:val="3"/>
      <w:numFmt w:val="decimal"/>
      <w:lvlText w:val="%1.%2"/>
      <w:lvlJc w:val="left"/>
      <w:pPr>
        <w:ind w:left="115" w:hanging="535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15" w:hanging="535"/>
      </w:pPr>
      <w:rPr>
        <w:rFonts w:ascii="Tahoma" w:eastAsia="Tahoma" w:hAnsi="Tahoma" w:cs="Tahoma" w:hint="default"/>
        <w:spacing w:val="-1"/>
        <w:w w:val="77"/>
        <w:sz w:val="22"/>
        <w:szCs w:val="22"/>
        <w:lang w:val="es-ES" w:eastAsia="es-ES" w:bidi="es-ES"/>
      </w:rPr>
    </w:lvl>
    <w:lvl w:ilvl="3">
      <w:start w:val="1"/>
      <w:numFmt w:val="decimal"/>
      <w:lvlText w:val="%1.%2.%3.%4."/>
      <w:lvlJc w:val="left"/>
      <w:pPr>
        <w:ind w:left="115" w:hanging="760"/>
      </w:pPr>
      <w:rPr>
        <w:rFonts w:ascii="Tahoma" w:eastAsia="Tahoma" w:hAnsi="Tahoma" w:cs="Tahoma" w:hint="default"/>
        <w:spacing w:val="-1"/>
        <w:w w:val="73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5751" w:hanging="7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55" w:hanging="7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59" w:hanging="7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63" w:hanging="7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967" w:hanging="760"/>
      </w:pPr>
      <w:rPr>
        <w:rFonts w:hint="default"/>
        <w:lang w:val="es-ES" w:eastAsia="es-ES" w:bidi="es-ES"/>
      </w:rPr>
    </w:lvl>
  </w:abstractNum>
  <w:abstractNum w:abstractNumId="2" w15:restartNumberingAfterBreak="0">
    <w:nsid w:val="08EB421D"/>
    <w:multiLevelType w:val="multilevel"/>
    <w:tmpl w:val="C7C43678"/>
    <w:lvl w:ilvl="0">
      <w:start w:val="1"/>
      <w:numFmt w:val="decimal"/>
      <w:lvlText w:val="%1."/>
      <w:lvlJc w:val="left"/>
      <w:pPr>
        <w:ind w:left="115" w:hanging="217"/>
      </w:pPr>
      <w:rPr>
        <w:rFonts w:ascii="Tahoma" w:eastAsia="Tahoma" w:hAnsi="Tahoma" w:cs="Tahoma" w:hint="default"/>
        <w:w w:val="63"/>
        <w:sz w:val="22"/>
        <w:szCs w:val="22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115" w:hanging="497"/>
      </w:pPr>
      <w:rPr>
        <w:rFonts w:ascii="Tahoma" w:eastAsia="Tahoma" w:hAnsi="Tahoma" w:cs="Tahoma" w:hint="default"/>
        <w:spacing w:val="-2"/>
        <w:w w:val="63"/>
        <w:sz w:val="22"/>
        <w:szCs w:val="22"/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15" w:hanging="535"/>
      </w:pPr>
      <w:rPr>
        <w:rFonts w:ascii="Tahoma" w:eastAsia="Tahoma" w:hAnsi="Tahoma" w:cs="Tahoma" w:hint="default"/>
        <w:spacing w:val="-2"/>
        <w:w w:val="63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2356" w:hanging="53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02" w:hanging="53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847" w:hanging="53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4593" w:hanging="53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338" w:hanging="53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084" w:hanging="535"/>
      </w:pPr>
      <w:rPr>
        <w:rFonts w:hint="default"/>
        <w:lang w:val="es-ES" w:eastAsia="es-ES" w:bidi="es-ES"/>
      </w:rPr>
    </w:lvl>
  </w:abstractNum>
  <w:abstractNum w:abstractNumId="3" w15:restartNumberingAfterBreak="0">
    <w:nsid w:val="15701842"/>
    <w:multiLevelType w:val="hybridMultilevel"/>
    <w:tmpl w:val="B02C37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049B"/>
    <w:multiLevelType w:val="hybridMultilevel"/>
    <w:tmpl w:val="A7B2C7B6"/>
    <w:lvl w:ilvl="0" w:tplc="2806D286">
      <w:start w:val="2"/>
      <w:numFmt w:val="decimal"/>
      <w:lvlText w:val="%1."/>
      <w:lvlJc w:val="left"/>
      <w:pPr>
        <w:ind w:left="914" w:hanging="356"/>
      </w:pPr>
      <w:rPr>
        <w:rFonts w:ascii="Tahoma" w:eastAsia="Tahoma" w:hAnsi="Tahoma" w:cs="Tahoma" w:hint="default"/>
        <w:b/>
        <w:bCs/>
        <w:w w:val="87"/>
        <w:sz w:val="24"/>
        <w:szCs w:val="24"/>
        <w:lang w:val="es-ES" w:eastAsia="es-ES" w:bidi="es-ES"/>
      </w:rPr>
    </w:lvl>
    <w:lvl w:ilvl="1" w:tplc="1C2662A4">
      <w:numFmt w:val="bullet"/>
      <w:lvlText w:val="•"/>
      <w:lvlJc w:val="left"/>
      <w:pPr>
        <w:ind w:left="1750" w:hanging="356"/>
      </w:pPr>
      <w:rPr>
        <w:rFonts w:hint="default"/>
        <w:lang w:val="es-ES" w:eastAsia="es-ES" w:bidi="es-ES"/>
      </w:rPr>
    </w:lvl>
    <w:lvl w:ilvl="2" w:tplc="C52A6F7E">
      <w:numFmt w:val="bullet"/>
      <w:lvlText w:val="•"/>
      <w:lvlJc w:val="left"/>
      <w:pPr>
        <w:ind w:left="2580" w:hanging="356"/>
      </w:pPr>
      <w:rPr>
        <w:rFonts w:hint="default"/>
        <w:lang w:val="es-ES" w:eastAsia="es-ES" w:bidi="es-ES"/>
      </w:rPr>
    </w:lvl>
    <w:lvl w:ilvl="3" w:tplc="BB4855F8">
      <w:numFmt w:val="bullet"/>
      <w:lvlText w:val="•"/>
      <w:lvlJc w:val="left"/>
      <w:pPr>
        <w:ind w:left="3410" w:hanging="356"/>
      </w:pPr>
      <w:rPr>
        <w:rFonts w:hint="default"/>
        <w:lang w:val="es-ES" w:eastAsia="es-ES" w:bidi="es-ES"/>
      </w:rPr>
    </w:lvl>
    <w:lvl w:ilvl="4" w:tplc="6FE0561C">
      <w:numFmt w:val="bullet"/>
      <w:lvlText w:val="•"/>
      <w:lvlJc w:val="left"/>
      <w:pPr>
        <w:ind w:left="4240" w:hanging="356"/>
      </w:pPr>
      <w:rPr>
        <w:rFonts w:hint="default"/>
        <w:lang w:val="es-ES" w:eastAsia="es-ES" w:bidi="es-ES"/>
      </w:rPr>
    </w:lvl>
    <w:lvl w:ilvl="5" w:tplc="C8BE9F40">
      <w:numFmt w:val="bullet"/>
      <w:lvlText w:val="•"/>
      <w:lvlJc w:val="left"/>
      <w:pPr>
        <w:ind w:left="5070" w:hanging="356"/>
      </w:pPr>
      <w:rPr>
        <w:rFonts w:hint="default"/>
        <w:lang w:val="es-ES" w:eastAsia="es-ES" w:bidi="es-ES"/>
      </w:rPr>
    </w:lvl>
    <w:lvl w:ilvl="6" w:tplc="C22239EE">
      <w:numFmt w:val="bullet"/>
      <w:lvlText w:val="•"/>
      <w:lvlJc w:val="left"/>
      <w:pPr>
        <w:ind w:left="5900" w:hanging="356"/>
      </w:pPr>
      <w:rPr>
        <w:rFonts w:hint="default"/>
        <w:lang w:val="es-ES" w:eastAsia="es-ES" w:bidi="es-ES"/>
      </w:rPr>
    </w:lvl>
    <w:lvl w:ilvl="7" w:tplc="BD4C7D2A">
      <w:numFmt w:val="bullet"/>
      <w:lvlText w:val="•"/>
      <w:lvlJc w:val="left"/>
      <w:pPr>
        <w:ind w:left="6730" w:hanging="356"/>
      </w:pPr>
      <w:rPr>
        <w:rFonts w:hint="default"/>
        <w:lang w:val="es-ES" w:eastAsia="es-ES" w:bidi="es-ES"/>
      </w:rPr>
    </w:lvl>
    <w:lvl w:ilvl="8" w:tplc="417C988C">
      <w:numFmt w:val="bullet"/>
      <w:lvlText w:val="•"/>
      <w:lvlJc w:val="left"/>
      <w:pPr>
        <w:ind w:left="7560" w:hanging="356"/>
      </w:pPr>
      <w:rPr>
        <w:rFonts w:hint="default"/>
        <w:lang w:val="es-ES" w:eastAsia="es-ES" w:bidi="es-ES"/>
      </w:rPr>
    </w:lvl>
  </w:abstractNum>
  <w:abstractNum w:abstractNumId="5" w15:restartNumberingAfterBreak="0">
    <w:nsid w:val="1BED7EA1"/>
    <w:multiLevelType w:val="multilevel"/>
    <w:tmpl w:val="19C4C2CA"/>
    <w:lvl w:ilvl="0">
      <w:start w:val="2"/>
      <w:numFmt w:val="decimal"/>
      <w:lvlText w:val="%1"/>
      <w:lvlJc w:val="left"/>
      <w:pPr>
        <w:ind w:left="115" w:hanging="365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15" w:hanging="365"/>
      </w:pPr>
      <w:rPr>
        <w:rFonts w:ascii="Tahoma" w:eastAsia="Tahoma" w:hAnsi="Tahoma" w:cs="Tahoma" w:hint="default"/>
        <w:spacing w:val="-1"/>
        <w:w w:val="77"/>
        <w:sz w:val="22"/>
        <w:szCs w:val="22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15" w:hanging="490"/>
      </w:pPr>
      <w:rPr>
        <w:rFonts w:ascii="Tahoma" w:eastAsia="Tahoma" w:hAnsi="Tahoma" w:cs="Tahoma" w:hint="default"/>
        <w:spacing w:val="-1"/>
        <w:w w:val="73"/>
        <w:sz w:val="22"/>
        <w:szCs w:val="22"/>
        <w:lang w:val="es-ES" w:eastAsia="es-ES" w:bidi="es-ES"/>
      </w:rPr>
    </w:lvl>
    <w:lvl w:ilvl="3">
      <w:start w:val="1"/>
      <w:numFmt w:val="decimal"/>
      <w:lvlText w:val="%1.%2.%3.%4."/>
      <w:lvlJc w:val="left"/>
      <w:pPr>
        <w:ind w:left="115" w:hanging="739"/>
      </w:pPr>
      <w:rPr>
        <w:rFonts w:ascii="Tahoma" w:eastAsia="Tahoma" w:hAnsi="Tahoma" w:cs="Tahoma" w:hint="default"/>
        <w:spacing w:val="-1"/>
        <w:w w:val="73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3102" w:hanging="73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847" w:hanging="73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4593" w:hanging="73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338" w:hanging="73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084" w:hanging="739"/>
      </w:pPr>
      <w:rPr>
        <w:rFonts w:hint="default"/>
        <w:lang w:val="es-ES" w:eastAsia="es-ES" w:bidi="es-ES"/>
      </w:rPr>
    </w:lvl>
  </w:abstractNum>
  <w:abstractNum w:abstractNumId="6" w15:restartNumberingAfterBreak="0">
    <w:nsid w:val="217E1F3C"/>
    <w:multiLevelType w:val="hybridMultilevel"/>
    <w:tmpl w:val="F5C89802"/>
    <w:lvl w:ilvl="0" w:tplc="26D6292C">
      <w:start w:val="1"/>
      <w:numFmt w:val="decimal"/>
      <w:lvlText w:val="%1."/>
      <w:lvlJc w:val="left"/>
      <w:pPr>
        <w:ind w:left="914" w:hanging="356"/>
      </w:pPr>
      <w:rPr>
        <w:rFonts w:ascii="Tahoma" w:eastAsia="Tahoma" w:hAnsi="Tahoma" w:cs="Tahoma" w:hint="default"/>
        <w:b/>
        <w:bCs/>
        <w:w w:val="63"/>
        <w:sz w:val="24"/>
        <w:szCs w:val="24"/>
        <w:lang w:val="es-ES" w:eastAsia="es-ES" w:bidi="es-ES"/>
      </w:rPr>
    </w:lvl>
    <w:lvl w:ilvl="1" w:tplc="DCB82354">
      <w:numFmt w:val="bullet"/>
      <w:lvlText w:val=""/>
      <w:lvlJc w:val="left"/>
      <w:pPr>
        <w:ind w:left="128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9AAE9222">
      <w:numFmt w:val="bullet"/>
      <w:lvlText w:val="•"/>
      <w:lvlJc w:val="left"/>
      <w:pPr>
        <w:ind w:left="2162" w:hanging="360"/>
      </w:pPr>
      <w:rPr>
        <w:rFonts w:hint="default"/>
        <w:lang w:val="es-ES" w:eastAsia="es-ES" w:bidi="es-ES"/>
      </w:rPr>
    </w:lvl>
    <w:lvl w:ilvl="3" w:tplc="A6D24842">
      <w:numFmt w:val="bullet"/>
      <w:lvlText w:val="•"/>
      <w:lvlJc w:val="left"/>
      <w:pPr>
        <w:ind w:left="3044" w:hanging="360"/>
      </w:pPr>
      <w:rPr>
        <w:rFonts w:hint="default"/>
        <w:lang w:val="es-ES" w:eastAsia="es-ES" w:bidi="es-ES"/>
      </w:rPr>
    </w:lvl>
    <w:lvl w:ilvl="4" w:tplc="778E107A">
      <w:numFmt w:val="bullet"/>
      <w:lvlText w:val="•"/>
      <w:lvlJc w:val="left"/>
      <w:pPr>
        <w:ind w:left="3926" w:hanging="360"/>
      </w:pPr>
      <w:rPr>
        <w:rFonts w:hint="default"/>
        <w:lang w:val="es-ES" w:eastAsia="es-ES" w:bidi="es-ES"/>
      </w:rPr>
    </w:lvl>
    <w:lvl w:ilvl="5" w:tplc="5DC4A210">
      <w:numFmt w:val="bullet"/>
      <w:lvlText w:val="•"/>
      <w:lvlJc w:val="left"/>
      <w:pPr>
        <w:ind w:left="4808" w:hanging="360"/>
      </w:pPr>
      <w:rPr>
        <w:rFonts w:hint="default"/>
        <w:lang w:val="es-ES" w:eastAsia="es-ES" w:bidi="es-ES"/>
      </w:rPr>
    </w:lvl>
    <w:lvl w:ilvl="6" w:tplc="C1603AEA">
      <w:numFmt w:val="bullet"/>
      <w:lvlText w:val="•"/>
      <w:lvlJc w:val="left"/>
      <w:pPr>
        <w:ind w:left="5691" w:hanging="360"/>
      </w:pPr>
      <w:rPr>
        <w:rFonts w:hint="default"/>
        <w:lang w:val="es-ES" w:eastAsia="es-ES" w:bidi="es-ES"/>
      </w:rPr>
    </w:lvl>
    <w:lvl w:ilvl="7" w:tplc="9162DA7A">
      <w:numFmt w:val="bullet"/>
      <w:lvlText w:val="•"/>
      <w:lvlJc w:val="left"/>
      <w:pPr>
        <w:ind w:left="6573" w:hanging="360"/>
      </w:pPr>
      <w:rPr>
        <w:rFonts w:hint="default"/>
        <w:lang w:val="es-ES" w:eastAsia="es-ES" w:bidi="es-ES"/>
      </w:rPr>
    </w:lvl>
    <w:lvl w:ilvl="8" w:tplc="F5C4F30A">
      <w:numFmt w:val="bullet"/>
      <w:lvlText w:val="•"/>
      <w:lvlJc w:val="left"/>
      <w:pPr>
        <w:ind w:left="7455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26A072C2"/>
    <w:multiLevelType w:val="hybridMultilevel"/>
    <w:tmpl w:val="94867EC6"/>
    <w:lvl w:ilvl="0" w:tplc="FDB0E23C">
      <w:numFmt w:val="bullet"/>
      <w:lvlText w:val="●"/>
      <w:lvlJc w:val="left"/>
      <w:pPr>
        <w:ind w:left="922" w:hanging="360"/>
      </w:pPr>
      <w:rPr>
        <w:rFonts w:ascii="Times New Roman" w:eastAsia="Times New Roman" w:hAnsi="Times New Roman" w:cs="Times New Roman" w:hint="default"/>
        <w:spacing w:val="-29"/>
        <w:w w:val="90"/>
        <w:sz w:val="24"/>
        <w:szCs w:val="24"/>
        <w:lang w:val="es-ES" w:eastAsia="es-ES" w:bidi="es-ES"/>
      </w:rPr>
    </w:lvl>
    <w:lvl w:ilvl="1" w:tplc="964A3FC0">
      <w:numFmt w:val="bullet"/>
      <w:lvlText w:val="•"/>
      <w:lvlJc w:val="left"/>
      <w:pPr>
        <w:ind w:left="1750" w:hanging="360"/>
      </w:pPr>
      <w:rPr>
        <w:rFonts w:hint="default"/>
        <w:lang w:val="es-ES" w:eastAsia="es-ES" w:bidi="es-ES"/>
      </w:rPr>
    </w:lvl>
    <w:lvl w:ilvl="2" w:tplc="24F418DE">
      <w:numFmt w:val="bullet"/>
      <w:lvlText w:val="•"/>
      <w:lvlJc w:val="left"/>
      <w:pPr>
        <w:ind w:left="2580" w:hanging="360"/>
      </w:pPr>
      <w:rPr>
        <w:rFonts w:hint="default"/>
        <w:lang w:val="es-ES" w:eastAsia="es-ES" w:bidi="es-ES"/>
      </w:rPr>
    </w:lvl>
    <w:lvl w:ilvl="3" w:tplc="7E423096">
      <w:numFmt w:val="bullet"/>
      <w:lvlText w:val="•"/>
      <w:lvlJc w:val="left"/>
      <w:pPr>
        <w:ind w:left="3410" w:hanging="360"/>
      </w:pPr>
      <w:rPr>
        <w:rFonts w:hint="default"/>
        <w:lang w:val="es-ES" w:eastAsia="es-ES" w:bidi="es-ES"/>
      </w:rPr>
    </w:lvl>
    <w:lvl w:ilvl="4" w:tplc="6818C696">
      <w:numFmt w:val="bullet"/>
      <w:lvlText w:val="•"/>
      <w:lvlJc w:val="left"/>
      <w:pPr>
        <w:ind w:left="4240" w:hanging="360"/>
      </w:pPr>
      <w:rPr>
        <w:rFonts w:hint="default"/>
        <w:lang w:val="es-ES" w:eastAsia="es-ES" w:bidi="es-ES"/>
      </w:rPr>
    </w:lvl>
    <w:lvl w:ilvl="5" w:tplc="E01E6D7C">
      <w:numFmt w:val="bullet"/>
      <w:lvlText w:val="•"/>
      <w:lvlJc w:val="left"/>
      <w:pPr>
        <w:ind w:left="5070" w:hanging="360"/>
      </w:pPr>
      <w:rPr>
        <w:rFonts w:hint="default"/>
        <w:lang w:val="es-ES" w:eastAsia="es-ES" w:bidi="es-ES"/>
      </w:rPr>
    </w:lvl>
    <w:lvl w:ilvl="6" w:tplc="B694FF5A">
      <w:numFmt w:val="bullet"/>
      <w:lvlText w:val="•"/>
      <w:lvlJc w:val="left"/>
      <w:pPr>
        <w:ind w:left="5900" w:hanging="360"/>
      </w:pPr>
      <w:rPr>
        <w:rFonts w:hint="default"/>
        <w:lang w:val="es-ES" w:eastAsia="es-ES" w:bidi="es-ES"/>
      </w:rPr>
    </w:lvl>
    <w:lvl w:ilvl="7" w:tplc="E0E8B444">
      <w:numFmt w:val="bullet"/>
      <w:lvlText w:val="•"/>
      <w:lvlJc w:val="left"/>
      <w:pPr>
        <w:ind w:left="6730" w:hanging="360"/>
      </w:pPr>
      <w:rPr>
        <w:rFonts w:hint="default"/>
        <w:lang w:val="es-ES" w:eastAsia="es-ES" w:bidi="es-ES"/>
      </w:rPr>
    </w:lvl>
    <w:lvl w:ilvl="8" w:tplc="2C1E053A">
      <w:numFmt w:val="bullet"/>
      <w:lvlText w:val="•"/>
      <w:lvlJc w:val="left"/>
      <w:pPr>
        <w:ind w:left="756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2C2A6F9A"/>
    <w:multiLevelType w:val="multilevel"/>
    <w:tmpl w:val="60EA77CC"/>
    <w:lvl w:ilvl="0">
      <w:start w:val="7"/>
      <w:numFmt w:val="decimal"/>
      <w:lvlText w:val="%1"/>
      <w:lvlJc w:val="left"/>
      <w:pPr>
        <w:ind w:left="580" w:hanging="379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80" w:hanging="379"/>
      </w:pPr>
      <w:rPr>
        <w:rFonts w:ascii="Tahoma" w:eastAsia="Tahoma" w:hAnsi="Tahoma" w:cs="Tahoma" w:hint="default"/>
        <w:b/>
        <w:bCs/>
        <w:color w:val="1D1D1B"/>
        <w:w w:val="63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308" w:hanging="379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172" w:hanging="379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036" w:hanging="379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00" w:hanging="379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764" w:hanging="379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28" w:hanging="37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92" w:hanging="379"/>
      </w:pPr>
      <w:rPr>
        <w:rFonts w:hint="default"/>
        <w:lang w:val="es-ES" w:eastAsia="es-ES" w:bidi="es-ES"/>
      </w:rPr>
    </w:lvl>
  </w:abstractNum>
  <w:abstractNum w:abstractNumId="9" w15:restartNumberingAfterBreak="0">
    <w:nsid w:val="2E1637D9"/>
    <w:multiLevelType w:val="hybridMultilevel"/>
    <w:tmpl w:val="6BF89E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93E85"/>
    <w:multiLevelType w:val="hybridMultilevel"/>
    <w:tmpl w:val="53FC85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40AE5"/>
    <w:multiLevelType w:val="hybridMultilevel"/>
    <w:tmpl w:val="2576830E"/>
    <w:lvl w:ilvl="0" w:tplc="10C47394">
      <w:start w:val="1"/>
      <w:numFmt w:val="lowerLetter"/>
      <w:lvlText w:val="%1)"/>
      <w:lvlJc w:val="left"/>
      <w:pPr>
        <w:ind w:left="922" w:hanging="319"/>
      </w:pPr>
      <w:rPr>
        <w:rFonts w:ascii="Tahoma" w:eastAsia="Tahoma" w:hAnsi="Tahoma" w:cs="Tahoma" w:hint="default"/>
        <w:w w:val="85"/>
        <w:sz w:val="24"/>
        <w:szCs w:val="24"/>
        <w:lang w:val="es-ES" w:eastAsia="es-ES" w:bidi="es-ES"/>
      </w:rPr>
    </w:lvl>
    <w:lvl w:ilvl="1" w:tplc="50A2A952">
      <w:numFmt w:val="bullet"/>
      <w:lvlText w:val="•"/>
      <w:lvlJc w:val="left"/>
      <w:pPr>
        <w:ind w:left="1750" w:hanging="319"/>
      </w:pPr>
      <w:rPr>
        <w:rFonts w:hint="default"/>
        <w:lang w:val="es-ES" w:eastAsia="es-ES" w:bidi="es-ES"/>
      </w:rPr>
    </w:lvl>
    <w:lvl w:ilvl="2" w:tplc="3C387E2C">
      <w:numFmt w:val="bullet"/>
      <w:lvlText w:val="•"/>
      <w:lvlJc w:val="left"/>
      <w:pPr>
        <w:ind w:left="2580" w:hanging="319"/>
      </w:pPr>
      <w:rPr>
        <w:rFonts w:hint="default"/>
        <w:lang w:val="es-ES" w:eastAsia="es-ES" w:bidi="es-ES"/>
      </w:rPr>
    </w:lvl>
    <w:lvl w:ilvl="3" w:tplc="F628E3DC">
      <w:numFmt w:val="bullet"/>
      <w:lvlText w:val="•"/>
      <w:lvlJc w:val="left"/>
      <w:pPr>
        <w:ind w:left="3410" w:hanging="319"/>
      </w:pPr>
      <w:rPr>
        <w:rFonts w:hint="default"/>
        <w:lang w:val="es-ES" w:eastAsia="es-ES" w:bidi="es-ES"/>
      </w:rPr>
    </w:lvl>
    <w:lvl w:ilvl="4" w:tplc="177062B0">
      <w:numFmt w:val="bullet"/>
      <w:lvlText w:val="•"/>
      <w:lvlJc w:val="left"/>
      <w:pPr>
        <w:ind w:left="4240" w:hanging="319"/>
      </w:pPr>
      <w:rPr>
        <w:rFonts w:hint="default"/>
        <w:lang w:val="es-ES" w:eastAsia="es-ES" w:bidi="es-ES"/>
      </w:rPr>
    </w:lvl>
    <w:lvl w:ilvl="5" w:tplc="79CC208E">
      <w:numFmt w:val="bullet"/>
      <w:lvlText w:val="•"/>
      <w:lvlJc w:val="left"/>
      <w:pPr>
        <w:ind w:left="5070" w:hanging="319"/>
      </w:pPr>
      <w:rPr>
        <w:rFonts w:hint="default"/>
        <w:lang w:val="es-ES" w:eastAsia="es-ES" w:bidi="es-ES"/>
      </w:rPr>
    </w:lvl>
    <w:lvl w:ilvl="6" w:tplc="27C2A3E4">
      <w:numFmt w:val="bullet"/>
      <w:lvlText w:val="•"/>
      <w:lvlJc w:val="left"/>
      <w:pPr>
        <w:ind w:left="5900" w:hanging="319"/>
      </w:pPr>
      <w:rPr>
        <w:rFonts w:hint="default"/>
        <w:lang w:val="es-ES" w:eastAsia="es-ES" w:bidi="es-ES"/>
      </w:rPr>
    </w:lvl>
    <w:lvl w:ilvl="7" w:tplc="FEF47F10">
      <w:numFmt w:val="bullet"/>
      <w:lvlText w:val="•"/>
      <w:lvlJc w:val="left"/>
      <w:pPr>
        <w:ind w:left="6730" w:hanging="319"/>
      </w:pPr>
      <w:rPr>
        <w:rFonts w:hint="default"/>
        <w:lang w:val="es-ES" w:eastAsia="es-ES" w:bidi="es-ES"/>
      </w:rPr>
    </w:lvl>
    <w:lvl w:ilvl="8" w:tplc="F5D4669E">
      <w:numFmt w:val="bullet"/>
      <w:lvlText w:val="•"/>
      <w:lvlJc w:val="left"/>
      <w:pPr>
        <w:ind w:left="7560" w:hanging="319"/>
      </w:pPr>
      <w:rPr>
        <w:rFonts w:hint="default"/>
        <w:lang w:val="es-ES" w:eastAsia="es-ES" w:bidi="es-ES"/>
      </w:rPr>
    </w:lvl>
  </w:abstractNum>
  <w:abstractNum w:abstractNumId="12" w15:restartNumberingAfterBreak="0">
    <w:nsid w:val="425A3224"/>
    <w:multiLevelType w:val="hybridMultilevel"/>
    <w:tmpl w:val="B18E3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4413A"/>
    <w:multiLevelType w:val="hybridMultilevel"/>
    <w:tmpl w:val="128AA22A"/>
    <w:lvl w:ilvl="0" w:tplc="B1E87F00">
      <w:numFmt w:val="bullet"/>
      <w:lvlText w:val=""/>
      <w:lvlJc w:val="left"/>
      <w:pPr>
        <w:ind w:left="9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B22231F0">
      <w:numFmt w:val="bullet"/>
      <w:lvlText w:val="•"/>
      <w:lvlJc w:val="left"/>
      <w:pPr>
        <w:ind w:left="1750" w:hanging="360"/>
      </w:pPr>
      <w:rPr>
        <w:rFonts w:hint="default"/>
        <w:lang w:val="es-ES" w:eastAsia="es-ES" w:bidi="es-ES"/>
      </w:rPr>
    </w:lvl>
    <w:lvl w:ilvl="2" w:tplc="4728604C">
      <w:numFmt w:val="bullet"/>
      <w:lvlText w:val="•"/>
      <w:lvlJc w:val="left"/>
      <w:pPr>
        <w:ind w:left="2580" w:hanging="360"/>
      </w:pPr>
      <w:rPr>
        <w:rFonts w:hint="default"/>
        <w:lang w:val="es-ES" w:eastAsia="es-ES" w:bidi="es-ES"/>
      </w:rPr>
    </w:lvl>
    <w:lvl w:ilvl="3" w:tplc="D93ED9DA">
      <w:numFmt w:val="bullet"/>
      <w:lvlText w:val="•"/>
      <w:lvlJc w:val="left"/>
      <w:pPr>
        <w:ind w:left="3410" w:hanging="360"/>
      </w:pPr>
      <w:rPr>
        <w:rFonts w:hint="default"/>
        <w:lang w:val="es-ES" w:eastAsia="es-ES" w:bidi="es-ES"/>
      </w:rPr>
    </w:lvl>
    <w:lvl w:ilvl="4" w:tplc="3FD081F4">
      <w:numFmt w:val="bullet"/>
      <w:lvlText w:val="•"/>
      <w:lvlJc w:val="left"/>
      <w:pPr>
        <w:ind w:left="4240" w:hanging="360"/>
      </w:pPr>
      <w:rPr>
        <w:rFonts w:hint="default"/>
        <w:lang w:val="es-ES" w:eastAsia="es-ES" w:bidi="es-ES"/>
      </w:rPr>
    </w:lvl>
    <w:lvl w:ilvl="5" w:tplc="CB3C42C6">
      <w:numFmt w:val="bullet"/>
      <w:lvlText w:val="•"/>
      <w:lvlJc w:val="left"/>
      <w:pPr>
        <w:ind w:left="5070" w:hanging="360"/>
      </w:pPr>
      <w:rPr>
        <w:rFonts w:hint="default"/>
        <w:lang w:val="es-ES" w:eastAsia="es-ES" w:bidi="es-ES"/>
      </w:rPr>
    </w:lvl>
    <w:lvl w:ilvl="6" w:tplc="F1DE57F4">
      <w:numFmt w:val="bullet"/>
      <w:lvlText w:val="•"/>
      <w:lvlJc w:val="left"/>
      <w:pPr>
        <w:ind w:left="5900" w:hanging="360"/>
      </w:pPr>
      <w:rPr>
        <w:rFonts w:hint="default"/>
        <w:lang w:val="es-ES" w:eastAsia="es-ES" w:bidi="es-ES"/>
      </w:rPr>
    </w:lvl>
    <w:lvl w:ilvl="7" w:tplc="9D52F880">
      <w:numFmt w:val="bullet"/>
      <w:lvlText w:val="•"/>
      <w:lvlJc w:val="left"/>
      <w:pPr>
        <w:ind w:left="6730" w:hanging="360"/>
      </w:pPr>
      <w:rPr>
        <w:rFonts w:hint="default"/>
        <w:lang w:val="es-ES" w:eastAsia="es-ES" w:bidi="es-ES"/>
      </w:rPr>
    </w:lvl>
    <w:lvl w:ilvl="8" w:tplc="E8E88DBE">
      <w:numFmt w:val="bullet"/>
      <w:lvlText w:val="•"/>
      <w:lvlJc w:val="left"/>
      <w:pPr>
        <w:ind w:left="7560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56FF3BEB"/>
    <w:multiLevelType w:val="hybridMultilevel"/>
    <w:tmpl w:val="E1A61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3756F"/>
    <w:multiLevelType w:val="multilevel"/>
    <w:tmpl w:val="473075F8"/>
    <w:lvl w:ilvl="0">
      <w:start w:val="1"/>
      <w:numFmt w:val="decimal"/>
      <w:lvlText w:val="%1."/>
      <w:lvlJc w:val="left"/>
      <w:pPr>
        <w:ind w:left="641" w:hanging="440"/>
      </w:pPr>
      <w:rPr>
        <w:rFonts w:ascii="Tahoma" w:eastAsia="Tahoma" w:hAnsi="Tahoma" w:cs="Tahoma" w:hint="default"/>
        <w:b/>
        <w:bCs/>
        <w:spacing w:val="-1"/>
        <w:w w:val="64"/>
        <w:sz w:val="22"/>
        <w:szCs w:val="2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674" w:hanging="252"/>
      </w:pPr>
      <w:rPr>
        <w:rFonts w:ascii="Tahoma" w:eastAsia="Tahoma" w:hAnsi="Tahoma" w:cs="Tahoma" w:hint="default"/>
        <w:b/>
        <w:bCs/>
        <w:w w:val="59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628" w:hanging="2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577" w:hanging="2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526" w:hanging="2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475" w:hanging="2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424" w:hanging="2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73" w:hanging="2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322" w:hanging="252"/>
      </w:pPr>
      <w:rPr>
        <w:rFonts w:hint="default"/>
        <w:lang w:val="es-ES" w:eastAsia="es-ES" w:bidi="es-ES"/>
      </w:rPr>
    </w:lvl>
  </w:abstractNum>
  <w:abstractNum w:abstractNumId="16" w15:restartNumberingAfterBreak="0">
    <w:nsid w:val="63701781"/>
    <w:multiLevelType w:val="hybridMultilevel"/>
    <w:tmpl w:val="B784F762"/>
    <w:lvl w:ilvl="0" w:tplc="2932B20C">
      <w:start w:val="1"/>
      <w:numFmt w:val="decimal"/>
      <w:lvlText w:val="%1."/>
      <w:lvlJc w:val="left"/>
      <w:pPr>
        <w:ind w:left="1282" w:hanging="360"/>
      </w:pPr>
      <w:rPr>
        <w:rFonts w:ascii="Tahoma" w:eastAsia="Tahoma" w:hAnsi="Tahoma" w:cs="Tahoma" w:hint="default"/>
        <w:spacing w:val="-1"/>
        <w:w w:val="72"/>
        <w:sz w:val="24"/>
        <w:szCs w:val="24"/>
        <w:lang w:val="es-ES" w:eastAsia="es-ES" w:bidi="es-ES"/>
      </w:rPr>
    </w:lvl>
    <w:lvl w:ilvl="1" w:tplc="1B0AD2D6">
      <w:numFmt w:val="bullet"/>
      <w:lvlText w:val="•"/>
      <w:lvlJc w:val="left"/>
      <w:pPr>
        <w:ind w:left="2074" w:hanging="360"/>
      </w:pPr>
      <w:rPr>
        <w:rFonts w:hint="default"/>
        <w:lang w:val="es-ES" w:eastAsia="es-ES" w:bidi="es-ES"/>
      </w:rPr>
    </w:lvl>
    <w:lvl w:ilvl="2" w:tplc="0464E0CC">
      <w:numFmt w:val="bullet"/>
      <w:lvlText w:val="•"/>
      <w:lvlJc w:val="left"/>
      <w:pPr>
        <w:ind w:left="2868" w:hanging="360"/>
      </w:pPr>
      <w:rPr>
        <w:rFonts w:hint="default"/>
        <w:lang w:val="es-ES" w:eastAsia="es-ES" w:bidi="es-ES"/>
      </w:rPr>
    </w:lvl>
    <w:lvl w:ilvl="3" w:tplc="6BD647E0">
      <w:numFmt w:val="bullet"/>
      <w:lvlText w:val="•"/>
      <w:lvlJc w:val="left"/>
      <w:pPr>
        <w:ind w:left="3662" w:hanging="360"/>
      </w:pPr>
      <w:rPr>
        <w:rFonts w:hint="default"/>
        <w:lang w:val="es-ES" w:eastAsia="es-ES" w:bidi="es-ES"/>
      </w:rPr>
    </w:lvl>
    <w:lvl w:ilvl="4" w:tplc="C1FED92E">
      <w:numFmt w:val="bullet"/>
      <w:lvlText w:val="•"/>
      <w:lvlJc w:val="left"/>
      <w:pPr>
        <w:ind w:left="4456" w:hanging="360"/>
      </w:pPr>
      <w:rPr>
        <w:rFonts w:hint="default"/>
        <w:lang w:val="es-ES" w:eastAsia="es-ES" w:bidi="es-ES"/>
      </w:rPr>
    </w:lvl>
    <w:lvl w:ilvl="5" w:tplc="6958CBEE">
      <w:numFmt w:val="bullet"/>
      <w:lvlText w:val="•"/>
      <w:lvlJc w:val="left"/>
      <w:pPr>
        <w:ind w:left="5250" w:hanging="360"/>
      </w:pPr>
      <w:rPr>
        <w:rFonts w:hint="default"/>
        <w:lang w:val="es-ES" w:eastAsia="es-ES" w:bidi="es-ES"/>
      </w:rPr>
    </w:lvl>
    <w:lvl w:ilvl="6" w:tplc="0E764064">
      <w:numFmt w:val="bullet"/>
      <w:lvlText w:val="•"/>
      <w:lvlJc w:val="left"/>
      <w:pPr>
        <w:ind w:left="6044" w:hanging="360"/>
      </w:pPr>
      <w:rPr>
        <w:rFonts w:hint="default"/>
        <w:lang w:val="es-ES" w:eastAsia="es-ES" w:bidi="es-ES"/>
      </w:rPr>
    </w:lvl>
    <w:lvl w:ilvl="7" w:tplc="CC625988">
      <w:numFmt w:val="bullet"/>
      <w:lvlText w:val="•"/>
      <w:lvlJc w:val="left"/>
      <w:pPr>
        <w:ind w:left="6838" w:hanging="360"/>
      </w:pPr>
      <w:rPr>
        <w:rFonts w:hint="default"/>
        <w:lang w:val="es-ES" w:eastAsia="es-ES" w:bidi="es-ES"/>
      </w:rPr>
    </w:lvl>
    <w:lvl w:ilvl="8" w:tplc="31B442D4">
      <w:numFmt w:val="bullet"/>
      <w:lvlText w:val="•"/>
      <w:lvlJc w:val="left"/>
      <w:pPr>
        <w:ind w:left="7632" w:hanging="360"/>
      </w:pPr>
      <w:rPr>
        <w:rFonts w:hint="default"/>
        <w:lang w:val="es-ES" w:eastAsia="es-ES" w:bidi="es-ES"/>
      </w:rPr>
    </w:lvl>
  </w:abstractNum>
  <w:abstractNum w:abstractNumId="17" w15:restartNumberingAfterBreak="0">
    <w:nsid w:val="6E2131DB"/>
    <w:multiLevelType w:val="multilevel"/>
    <w:tmpl w:val="3E12C1B8"/>
    <w:lvl w:ilvl="0">
      <w:start w:val="1"/>
      <w:numFmt w:val="decimal"/>
      <w:lvlText w:val="%1."/>
      <w:lvlJc w:val="left"/>
      <w:pPr>
        <w:ind w:left="922" w:hanging="360"/>
      </w:pPr>
      <w:rPr>
        <w:rFonts w:ascii="Tahoma" w:eastAsia="Tahoma" w:hAnsi="Tahoma" w:cs="Tahoma" w:hint="default"/>
        <w:b/>
        <w:bCs/>
        <w:color w:val="1D1D1B"/>
        <w:spacing w:val="-1"/>
        <w:w w:val="63"/>
        <w:sz w:val="32"/>
        <w:szCs w:val="32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546" w:hanging="276"/>
      </w:pPr>
      <w:rPr>
        <w:rFonts w:ascii="Tahoma" w:eastAsia="Tahoma" w:hAnsi="Tahoma" w:cs="Tahoma" w:hint="default"/>
        <w:b/>
        <w:bCs/>
        <w:w w:val="53"/>
        <w:sz w:val="24"/>
        <w:szCs w:val="24"/>
        <w:lang w:val="es-ES" w:eastAsia="es-ES" w:bidi="es-ES"/>
      </w:rPr>
    </w:lvl>
    <w:lvl w:ilvl="2">
      <w:numFmt w:val="bullet"/>
      <w:lvlText w:val="•"/>
      <w:lvlJc w:val="left"/>
      <w:pPr>
        <w:ind w:left="2393" w:hanging="27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246" w:hanging="27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100" w:hanging="27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53" w:hanging="27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06" w:hanging="27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660" w:hanging="27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513" w:hanging="276"/>
      </w:pPr>
      <w:rPr>
        <w:rFonts w:hint="default"/>
        <w:lang w:val="es-ES" w:eastAsia="es-ES" w:bidi="es-ES"/>
      </w:rPr>
    </w:lvl>
  </w:abstractNum>
  <w:abstractNum w:abstractNumId="18" w15:restartNumberingAfterBreak="0">
    <w:nsid w:val="70000DDB"/>
    <w:multiLevelType w:val="multilevel"/>
    <w:tmpl w:val="280C9EEA"/>
    <w:lvl w:ilvl="0">
      <w:start w:val="2"/>
      <w:numFmt w:val="decimal"/>
      <w:lvlText w:val="%1."/>
      <w:lvlJc w:val="left"/>
      <w:pPr>
        <w:ind w:left="995" w:hanging="224"/>
      </w:pPr>
      <w:rPr>
        <w:rFonts w:ascii="Tahoma" w:eastAsia="Tahoma" w:hAnsi="Tahoma" w:cs="Tahoma" w:hint="default"/>
        <w:spacing w:val="-1"/>
        <w:w w:val="90"/>
        <w:sz w:val="22"/>
        <w:szCs w:val="22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15" w:hanging="394"/>
      </w:pPr>
      <w:rPr>
        <w:rFonts w:ascii="Tahoma" w:eastAsia="Tahoma" w:hAnsi="Tahoma" w:cs="Tahoma" w:hint="default"/>
        <w:spacing w:val="-1"/>
        <w:w w:val="77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1730" w:hanging="39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461" w:hanging="39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191" w:hanging="39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922" w:hanging="39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4652" w:hanging="39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383" w:hanging="39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113" w:hanging="394"/>
      </w:pPr>
      <w:rPr>
        <w:rFonts w:hint="default"/>
        <w:lang w:val="es-ES" w:eastAsia="es-ES" w:bidi="es-ES"/>
      </w:rPr>
    </w:lvl>
  </w:abstractNum>
  <w:abstractNum w:abstractNumId="19" w15:restartNumberingAfterBreak="0">
    <w:nsid w:val="79E635FE"/>
    <w:multiLevelType w:val="multilevel"/>
    <w:tmpl w:val="FA4E1FA8"/>
    <w:lvl w:ilvl="0">
      <w:start w:val="2"/>
      <w:numFmt w:val="decimal"/>
      <w:lvlText w:val="%1"/>
      <w:lvlJc w:val="left"/>
      <w:pPr>
        <w:ind w:left="115" w:hanging="546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15" w:hanging="546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15" w:hanging="546"/>
      </w:pPr>
      <w:rPr>
        <w:rFonts w:ascii="Tahoma" w:eastAsia="Tahoma" w:hAnsi="Tahoma" w:cs="Tahoma" w:hint="default"/>
        <w:spacing w:val="-2"/>
        <w:w w:val="77"/>
        <w:sz w:val="22"/>
        <w:szCs w:val="22"/>
        <w:lang w:val="es-ES" w:eastAsia="es-ES" w:bidi="es-ES"/>
      </w:rPr>
    </w:lvl>
    <w:lvl w:ilvl="3">
      <w:start w:val="1"/>
      <w:numFmt w:val="decimal"/>
      <w:lvlText w:val="%1.%2.%3.%4."/>
      <w:lvlJc w:val="left"/>
      <w:pPr>
        <w:ind w:left="115" w:hanging="727"/>
      </w:pPr>
      <w:rPr>
        <w:rFonts w:ascii="Tahoma" w:eastAsia="Tahoma" w:hAnsi="Tahoma" w:cs="Tahoma" w:hint="default"/>
        <w:spacing w:val="-2"/>
        <w:w w:val="73"/>
        <w:sz w:val="22"/>
        <w:szCs w:val="22"/>
        <w:lang w:val="es-ES" w:eastAsia="es-ES" w:bidi="es-ES"/>
      </w:rPr>
    </w:lvl>
    <w:lvl w:ilvl="4">
      <w:start w:val="1"/>
      <w:numFmt w:val="decimal"/>
      <w:lvlText w:val="%1.%2.%3.%4.%5."/>
      <w:lvlJc w:val="left"/>
      <w:pPr>
        <w:ind w:left="115" w:hanging="1018"/>
      </w:pPr>
      <w:rPr>
        <w:rFonts w:ascii="Tahoma" w:eastAsia="Tahoma" w:hAnsi="Tahoma" w:cs="Tahoma" w:hint="default"/>
        <w:spacing w:val="-2"/>
        <w:w w:val="73"/>
        <w:sz w:val="22"/>
        <w:szCs w:val="22"/>
        <w:lang w:val="es-ES" w:eastAsia="es-ES" w:bidi="es-ES"/>
      </w:rPr>
    </w:lvl>
    <w:lvl w:ilvl="5">
      <w:numFmt w:val="bullet"/>
      <w:lvlText w:val="•"/>
      <w:lvlJc w:val="left"/>
      <w:pPr>
        <w:ind w:left="3847" w:hanging="101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4593" w:hanging="101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338" w:hanging="101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084" w:hanging="1018"/>
      </w:pPr>
      <w:rPr>
        <w:rFonts w:hint="default"/>
        <w:lang w:val="es-ES" w:eastAsia="es-ES" w:bidi="es-ES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9"/>
  </w:num>
  <w:num w:numId="5">
    <w:abstractNumId w:val="18"/>
  </w:num>
  <w:num w:numId="6">
    <w:abstractNumId w:val="5"/>
  </w:num>
  <w:num w:numId="7">
    <w:abstractNumId w:val="1"/>
  </w:num>
  <w:num w:numId="8">
    <w:abstractNumId w:val="19"/>
  </w:num>
  <w:num w:numId="9">
    <w:abstractNumId w:val="2"/>
  </w:num>
  <w:num w:numId="10">
    <w:abstractNumId w:val="0"/>
  </w:num>
  <w:num w:numId="11">
    <w:abstractNumId w:val="8"/>
  </w:num>
  <w:num w:numId="12">
    <w:abstractNumId w:val="13"/>
  </w:num>
  <w:num w:numId="13">
    <w:abstractNumId w:val="4"/>
  </w:num>
  <w:num w:numId="14">
    <w:abstractNumId w:val="16"/>
  </w:num>
  <w:num w:numId="15">
    <w:abstractNumId w:val="6"/>
  </w:num>
  <w:num w:numId="16">
    <w:abstractNumId w:val="11"/>
  </w:num>
  <w:num w:numId="17">
    <w:abstractNumId w:val="7"/>
  </w:num>
  <w:num w:numId="18">
    <w:abstractNumId w:val="17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71"/>
    <w:rsid w:val="00006846"/>
    <w:rsid w:val="00013364"/>
    <w:rsid w:val="00020C38"/>
    <w:rsid w:val="00024561"/>
    <w:rsid w:val="000307DC"/>
    <w:rsid w:val="000433E3"/>
    <w:rsid w:val="00045B3E"/>
    <w:rsid w:val="0005236E"/>
    <w:rsid w:val="00062B0D"/>
    <w:rsid w:val="0006609B"/>
    <w:rsid w:val="00097F7B"/>
    <w:rsid w:val="000B562D"/>
    <w:rsid w:val="000B700C"/>
    <w:rsid w:val="000C44C1"/>
    <w:rsid w:val="000C4A44"/>
    <w:rsid w:val="000C5D4C"/>
    <w:rsid w:val="000C6D9A"/>
    <w:rsid w:val="000D6788"/>
    <w:rsid w:val="000E0E33"/>
    <w:rsid w:val="000E7916"/>
    <w:rsid w:val="00100A7B"/>
    <w:rsid w:val="00101022"/>
    <w:rsid w:val="001075A7"/>
    <w:rsid w:val="001107F1"/>
    <w:rsid w:val="001114C9"/>
    <w:rsid w:val="00111BF6"/>
    <w:rsid w:val="0014510A"/>
    <w:rsid w:val="001613FF"/>
    <w:rsid w:val="00171CE9"/>
    <w:rsid w:val="00187C95"/>
    <w:rsid w:val="00190D7F"/>
    <w:rsid w:val="001979A2"/>
    <w:rsid w:val="001D5C15"/>
    <w:rsid w:val="001F17A5"/>
    <w:rsid w:val="001F55A9"/>
    <w:rsid w:val="001F6443"/>
    <w:rsid w:val="00204734"/>
    <w:rsid w:val="002158C6"/>
    <w:rsid w:val="00235927"/>
    <w:rsid w:val="002463A7"/>
    <w:rsid w:val="00285813"/>
    <w:rsid w:val="002A1AF3"/>
    <w:rsid w:val="002C3591"/>
    <w:rsid w:val="002E25E7"/>
    <w:rsid w:val="002E7C3C"/>
    <w:rsid w:val="0031791B"/>
    <w:rsid w:val="00335F9D"/>
    <w:rsid w:val="00345877"/>
    <w:rsid w:val="00357AD8"/>
    <w:rsid w:val="003760DA"/>
    <w:rsid w:val="003B1018"/>
    <w:rsid w:val="003C3247"/>
    <w:rsid w:val="003D6FE1"/>
    <w:rsid w:val="004002E3"/>
    <w:rsid w:val="00413679"/>
    <w:rsid w:val="0041510D"/>
    <w:rsid w:val="00417EF2"/>
    <w:rsid w:val="0043233F"/>
    <w:rsid w:val="0045361F"/>
    <w:rsid w:val="004A60B1"/>
    <w:rsid w:val="004C18AB"/>
    <w:rsid w:val="004C294B"/>
    <w:rsid w:val="004D7083"/>
    <w:rsid w:val="00504546"/>
    <w:rsid w:val="00507966"/>
    <w:rsid w:val="00513510"/>
    <w:rsid w:val="0054362D"/>
    <w:rsid w:val="005476BC"/>
    <w:rsid w:val="005542AE"/>
    <w:rsid w:val="00565584"/>
    <w:rsid w:val="0056616B"/>
    <w:rsid w:val="005819B1"/>
    <w:rsid w:val="0059174D"/>
    <w:rsid w:val="005920EA"/>
    <w:rsid w:val="005B5896"/>
    <w:rsid w:val="005C6E17"/>
    <w:rsid w:val="005D1E14"/>
    <w:rsid w:val="005D66AC"/>
    <w:rsid w:val="005D6F6D"/>
    <w:rsid w:val="005D7173"/>
    <w:rsid w:val="005F42D0"/>
    <w:rsid w:val="005F72D4"/>
    <w:rsid w:val="00601B88"/>
    <w:rsid w:val="0061550D"/>
    <w:rsid w:val="00626DEC"/>
    <w:rsid w:val="00627CD1"/>
    <w:rsid w:val="006669D6"/>
    <w:rsid w:val="006B0F9F"/>
    <w:rsid w:val="006C4A1E"/>
    <w:rsid w:val="006D2DF1"/>
    <w:rsid w:val="006E2B35"/>
    <w:rsid w:val="006E6B03"/>
    <w:rsid w:val="00726290"/>
    <w:rsid w:val="0075140D"/>
    <w:rsid w:val="00782339"/>
    <w:rsid w:val="007945FE"/>
    <w:rsid w:val="007C0707"/>
    <w:rsid w:val="007C5646"/>
    <w:rsid w:val="007D4D0A"/>
    <w:rsid w:val="007E3C44"/>
    <w:rsid w:val="007F42F1"/>
    <w:rsid w:val="007F5749"/>
    <w:rsid w:val="007F5E9C"/>
    <w:rsid w:val="00811BA4"/>
    <w:rsid w:val="00812DE9"/>
    <w:rsid w:val="00814B16"/>
    <w:rsid w:val="00814CED"/>
    <w:rsid w:val="008379C9"/>
    <w:rsid w:val="00851D6F"/>
    <w:rsid w:val="008532CA"/>
    <w:rsid w:val="00853DCA"/>
    <w:rsid w:val="008609AE"/>
    <w:rsid w:val="008742FB"/>
    <w:rsid w:val="00892202"/>
    <w:rsid w:val="008B000E"/>
    <w:rsid w:val="008B4944"/>
    <w:rsid w:val="008B4F5F"/>
    <w:rsid w:val="008B7A27"/>
    <w:rsid w:val="008E0276"/>
    <w:rsid w:val="008E1458"/>
    <w:rsid w:val="008E221F"/>
    <w:rsid w:val="00922119"/>
    <w:rsid w:val="00934B5C"/>
    <w:rsid w:val="00940D9E"/>
    <w:rsid w:val="00966854"/>
    <w:rsid w:val="009A0315"/>
    <w:rsid w:val="009A3386"/>
    <w:rsid w:val="009B6451"/>
    <w:rsid w:val="009B64FB"/>
    <w:rsid w:val="009B75C5"/>
    <w:rsid w:val="009E5436"/>
    <w:rsid w:val="009F284E"/>
    <w:rsid w:val="00A31A2A"/>
    <w:rsid w:val="00A45124"/>
    <w:rsid w:val="00A61435"/>
    <w:rsid w:val="00A66EC1"/>
    <w:rsid w:val="00A96685"/>
    <w:rsid w:val="00AB7D46"/>
    <w:rsid w:val="00AC45E5"/>
    <w:rsid w:val="00AD6881"/>
    <w:rsid w:val="00AD71BD"/>
    <w:rsid w:val="00AE315B"/>
    <w:rsid w:val="00AF7EA4"/>
    <w:rsid w:val="00B14479"/>
    <w:rsid w:val="00B175BE"/>
    <w:rsid w:val="00B32A4F"/>
    <w:rsid w:val="00B44B71"/>
    <w:rsid w:val="00B57378"/>
    <w:rsid w:val="00B84ABC"/>
    <w:rsid w:val="00B95696"/>
    <w:rsid w:val="00BA18FA"/>
    <w:rsid w:val="00BA4502"/>
    <w:rsid w:val="00BA5825"/>
    <w:rsid w:val="00BB12E2"/>
    <w:rsid w:val="00BB3566"/>
    <w:rsid w:val="00BB6DC9"/>
    <w:rsid w:val="00BC2519"/>
    <w:rsid w:val="00BE6D32"/>
    <w:rsid w:val="00C11198"/>
    <w:rsid w:val="00C25066"/>
    <w:rsid w:val="00C3358D"/>
    <w:rsid w:val="00C36EFA"/>
    <w:rsid w:val="00C51154"/>
    <w:rsid w:val="00C870F6"/>
    <w:rsid w:val="00C919A5"/>
    <w:rsid w:val="00CA14A3"/>
    <w:rsid w:val="00CA1E47"/>
    <w:rsid w:val="00CA4C94"/>
    <w:rsid w:val="00CB0AC2"/>
    <w:rsid w:val="00CC04D3"/>
    <w:rsid w:val="00CC3B74"/>
    <w:rsid w:val="00CE5A7C"/>
    <w:rsid w:val="00CF1BCD"/>
    <w:rsid w:val="00CF36D6"/>
    <w:rsid w:val="00D01AFD"/>
    <w:rsid w:val="00D0610B"/>
    <w:rsid w:val="00D308CE"/>
    <w:rsid w:val="00D30EDA"/>
    <w:rsid w:val="00D40713"/>
    <w:rsid w:val="00D42FFE"/>
    <w:rsid w:val="00D46471"/>
    <w:rsid w:val="00D57571"/>
    <w:rsid w:val="00D639B9"/>
    <w:rsid w:val="00D71115"/>
    <w:rsid w:val="00D954DD"/>
    <w:rsid w:val="00DA3FC0"/>
    <w:rsid w:val="00DA6BEA"/>
    <w:rsid w:val="00DC5976"/>
    <w:rsid w:val="00DD3A87"/>
    <w:rsid w:val="00DD56C2"/>
    <w:rsid w:val="00DE1782"/>
    <w:rsid w:val="00DF240D"/>
    <w:rsid w:val="00DF29E6"/>
    <w:rsid w:val="00DF5CF8"/>
    <w:rsid w:val="00DF67B7"/>
    <w:rsid w:val="00DF6CA3"/>
    <w:rsid w:val="00E04C29"/>
    <w:rsid w:val="00E151DE"/>
    <w:rsid w:val="00E2223C"/>
    <w:rsid w:val="00E26339"/>
    <w:rsid w:val="00E26998"/>
    <w:rsid w:val="00E26A35"/>
    <w:rsid w:val="00E27C0A"/>
    <w:rsid w:val="00E32423"/>
    <w:rsid w:val="00E42691"/>
    <w:rsid w:val="00E504AA"/>
    <w:rsid w:val="00E91B39"/>
    <w:rsid w:val="00E96CE1"/>
    <w:rsid w:val="00EA625B"/>
    <w:rsid w:val="00EA699B"/>
    <w:rsid w:val="00EA7445"/>
    <w:rsid w:val="00EB1148"/>
    <w:rsid w:val="00ED0A23"/>
    <w:rsid w:val="00EE1D2D"/>
    <w:rsid w:val="00F346AF"/>
    <w:rsid w:val="00F642AA"/>
    <w:rsid w:val="00F65949"/>
    <w:rsid w:val="00F71072"/>
    <w:rsid w:val="00F73034"/>
    <w:rsid w:val="00F7423B"/>
    <w:rsid w:val="00F7503F"/>
    <w:rsid w:val="00F93909"/>
    <w:rsid w:val="00FB05A9"/>
    <w:rsid w:val="00FB08B5"/>
    <w:rsid w:val="00FC3278"/>
    <w:rsid w:val="00FD1C6B"/>
    <w:rsid w:val="00FD2A98"/>
    <w:rsid w:val="00FD3212"/>
    <w:rsid w:val="00FD4D74"/>
    <w:rsid w:val="00FD7B9C"/>
    <w:rsid w:val="00FE5CA0"/>
    <w:rsid w:val="00FE7253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BE31D"/>
  <w15:docId w15:val="{355D2F5B-D53A-40C6-AD74-531A2CE7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812DE9"/>
    <w:pPr>
      <w:widowControl w:val="0"/>
      <w:autoSpaceDE w:val="0"/>
      <w:autoSpaceDN w:val="0"/>
      <w:spacing w:before="182"/>
      <w:ind w:left="922" w:hanging="361"/>
      <w:outlineLvl w:val="0"/>
    </w:pPr>
    <w:rPr>
      <w:rFonts w:ascii="Tahoma" w:eastAsia="Tahoma" w:hAnsi="Tahoma" w:cs="Tahoma"/>
      <w:b/>
      <w:bCs/>
      <w:sz w:val="32"/>
      <w:szCs w:val="32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812DE9"/>
    <w:pPr>
      <w:widowControl w:val="0"/>
      <w:autoSpaceDE w:val="0"/>
      <w:autoSpaceDN w:val="0"/>
      <w:spacing w:before="183"/>
      <w:ind w:left="202"/>
      <w:jc w:val="center"/>
      <w:outlineLvl w:val="1"/>
    </w:pPr>
    <w:rPr>
      <w:rFonts w:ascii="Tahoma" w:eastAsia="Tahoma" w:hAnsi="Tahoma" w:cs="Tahoma"/>
      <w:b/>
      <w:bCs/>
      <w:sz w:val="28"/>
      <w:szCs w:val="28"/>
      <w:u w:val="single" w:color="000000"/>
      <w:lang w:val="es-ES" w:eastAsia="es-ES" w:bidi="es-ES"/>
    </w:rPr>
  </w:style>
  <w:style w:type="paragraph" w:styleId="Ttulo3">
    <w:name w:val="heading 3"/>
    <w:basedOn w:val="Normal"/>
    <w:link w:val="Ttulo3C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242F62" w:themeColor="accent1"/>
      <w:sz w:val="24"/>
      <w:szCs w:val="24"/>
    </w:rPr>
  </w:style>
  <w:style w:type="paragraph" w:styleId="Prrafodelista">
    <w:name w:val="List Paragraph"/>
    <w:basedOn w:val="Normal"/>
    <w:uiPriority w:val="1"/>
    <w:qFormat/>
    <w:rsid w:val="00B956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5B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B3E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45B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B3E"/>
    <w:rPr>
      <w:rFonts w:eastAsiaTheme="minorEastAsia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5B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B3E"/>
    <w:rPr>
      <w:rFonts w:ascii="Tahoma" w:eastAsiaTheme="minorEastAsia" w:hAnsi="Tahoma" w:cs="Tahoma"/>
      <w:sz w:val="16"/>
      <w:szCs w:val="16"/>
    </w:rPr>
  </w:style>
  <w:style w:type="table" w:customStyle="1" w:styleId="Tablaconcuadrcula4-nfasis11">
    <w:name w:val="Tabla con cuadrícula 4 - Énfasis 11"/>
    <w:basedOn w:val="Tablanormal"/>
    <w:uiPriority w:val="49"/>
    <w:rsid w:val="004C18AB"/>
    <w:tblPr>
      <w:tblStyleRowBandSize w:val="1"/>
      <w:tblStyleColBandSize w:val="1"/>
      <w:tblBorders>
        <w:top w:val="single" w:sz="4" w:space="0" w:color="5A6CC2" w:themeColor="accent1" w:themeTint="99"/>
        <w:left w:val="single" w:sz="4" w:space="0" w:color="5A6CC2" w:themeColor="accent1" w:themeTint="99"/>
        <w:bottom w:val="single" w:sz="4" w:space="0" w:color="5A6CC2" w:themeColor="accent1" w:themeTint="99"/>
        <w:right w:val="single" w:sz="4" w:space="0" w:color="5A6CC2" w:themeColor="accent1" w:themeTint="99"/>
        <w:insideH w:val="single" w:sz="4" w:space="0" w:color="5A6CC2" w:themeColor="accent1" w:themeTint="99"/>
        <w:insideV w:val="single" w:sz="4" w:space="0" w:color="5A6C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2F62" w:themeColor="accent1"/>
          <w:left w:val="single" w:sz="4" w:space="0" w:color="242F62" w:themeColor="accent1"/>
          <w:bottom w:val="single" w:sz="4" w:space="0" w:color="242F62" w:themeColor="accent1"/>
          <w:right w:val="single" w:sz="4" w:space="0" w:color="242F62" w:themeColor="accent1"/>
          <w:insideH w:val="nil"/>
          <w:insideV w:val="nil"/>
        </w:tcBorders>
        <w:shd w:val="clear" w:color="auto" w:fill="242F62" w:themeFill="accent1"/>
      </w:tcPr>
    </w:tblStylePr>
    <w:tblStylePr w:type="lastRow">
      <w:rPr>
        <w:b/>
        <w:bCs/>
      </w:rPr>
      <w:tblPr/>
      <w:tcPr>
        <w:tcBorders>
          <w:top w:val="double" w:sz="4" w:space="0" w:color="242F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EEA" w:themeFill="accent1" w:themeFillTint="33"/>
      </w:tcPr>
    </w:tblStylePr>
    <w:tblStylePr w:type="band1Horz">
      <w:tblPr/>
      <w:tcPr>
        <w:shd w:val="clear" w:color="auto" w:fill="C7CEEA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047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47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4734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7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4734"/>
    <w:rPr>
      <w:rFonts w:eastAsiaTheme="minorEastAsia"/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51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1DE"/>
    <w:rPr>
      <w:rFonts w:eastAsiaTheme="minorEastAsia"/>
    </w:rPr>
  </w:style>
  <w:style w:type="character" w:styleId="Refdenotaalpie">
    <w:name w:val="footnote reference"/>
    <w:basedOn w:val="Fuentedeprrafopredeter"/>
    <w:uiPriority w:val="99"/>
    <w:semiHidden/>
    <w:unhideWhenUsed/>
    <w:rsid w:val="00E151D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12D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DE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812DE9"/>
    <w:rPr>
      <w:rFonts w:ascii="Tahoma" w:eastAsia="Tahoma" w:hAnsi="Tahoma" w:cs="Tahoma"/>
      <w:b/>
      <w:bCs/>
      <w:sz w:val="32"/>
      <w:szCs w:val="32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812DE9"/>
    <w:rPr>
      <w:rFonts w:ascii="Tahoma" w:eastAsia="Tahoma" w:hAnsi="Tahoma" w:cs="Tahoma"/>
      <w:b/>
      <w:bCs/>
      <w:sz w:val="28"/>
      <w:szCs w:val="28"/>
      <w:u w:val="single" w:color="000000"/>
      <w:lang w:val="es-ES" w:eastAsia="es-ES" w:bidi="es-ES"/>
    </w:rPr>
  </w:style>
  <w:style w:type="paragraph" w:styleId="TDC1">
    <w:name w:val="toc 1"/>
    <w:basedOn w:val="Normal"/>
    <w:uiPriority w:val="1"/>
    <w:qFormat/>
    <w:rsid w:val="00812DE9"/>
    <w:pPr>
      <w:widowControl w:val="0"/>
      <w:autoSpaceDE w:val="0"/>
      <w:autoSpaceDN w:val="0"/>
      <w:spacing w:before="122"/>
      <w:ind w:right="184"/>
      <w:jc w:val="right"/>
    </w:pPr>
    <w:rPr>
      <w:rFonts w:ascii="Tahoma" w:eastAsia="Tahoma" w:hAnsi="Tahoma" w:cs="Tahoma"/>
      <w:b/>
      <w:bCs/>
      <w:sz w:val="22"/>
      <w:szCs w:val="22"/>
      <w:lang w:val="es-ES" w:eastAsia="es-ES" w:bidi="es-ES"/>
    </w:rPr>
  </w:style>
  <w:style w:type="paragraph" w:styleId="TDC2">
    <w:name w:val="toc 2"/>
    <w:basedOn w:val="Normal"/>
    <w:uiPriority w:val="1"/>
    <w:qFormat/>
    <w:rsid w:val="00812DE9"/>
    <w:pPr>
      <w:widowControl w:val="0"/>
      <w:autoSpaceDE w:val="0"/>
      <w:autoSpaceDN w:val="0"/>
      <w:spacing w:before="122"/>
      <w:ind w:right="184"/>
      <w:jc w:val="right"/>
    </w:pPr>
    <w:rPr>
      <w:rFonts w:ascii="Tahoma" w:eastAsia="Tahoma" w:hAnsi="Tahoma" w:cs="Tahoma"/>
      <w:b/>
      <w:bCs/>
      <w:i/>
      <w:sz w:val="22"/>
      <w:szCs w:val="22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812DE9"/>
    <w:pPr>
      <w:widowControl w:val="0"/>
      <w:autoSpaceDE w:val="0"/>
      <w:autoSpaceDN w:val="0"/>
    </w:pPr>
    <w:rPr>
      <w:rFonts w:ascii="Tahoma" w:eastAsia="Tahoma" w:hAnsi="Tahoma" w:cs="Tahoma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2DE9"/>
    <w:rPr>
      <w:rFonts w:ascii="Tahoma" w:eastAsia="Tahoma" w:hAnsi="Tahoma" w:cs="Tahoma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antone">
      <a:dk1>
        <a:srgbClr val="1D1D1B"/>
      </a:dk1>
      <a:lt1>
        <a:sysClr val="window" lastClr="FFFFFF"/>
      </a:lt1>
      <a:dk2>
        <a:srgbClr val="323232"/>
      </a:dk2>
      <a:lt2>
        <a:srgbClr val="E3DED1"/>
      </a:lt2>
      <a:accent1>
        <a:srgbClr val="242F62"/>
      </a:accent1>
      <a:accent2>
        <a:srgbClr val="6E368C"/>
      </a:accent2>
      <a:accent3>
        <a:srgbClr val="009982"/>
      </a:accent3>
      <a:accent4>
        <a:srgbClr val="A72886"/>
      </a:accent4>
      <a:accent5>
        <a:srgbClr val="DF8296"/>
      </a:accent5>
      <a:accent6>
        <a:srgbClr val="006250"/>
      </a:accent6>
      <a:hlink>
        <a:srgbClr val="242F62"/>
      </a:hlink>
      <a:folHlink>
        <a:srgbClr val="6E36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E5ACA0-2819-413F-8900-B2999270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3393</Words>
  <Characters>18662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opinón</vt:lpstr>
    </vt:vector>
  </TitlesOfParts>
  <Company/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opinón</dc:title>
  <dc:creator>Wilbert Suárez Solis</dc:creator>
  <cp:lastModifiedBy>Dulce Nery Rojas Solis</cp:lastModifiedBy>
  <cp:revision>2</cp:revision>
  <cp:lastPrinted>2020-10-16T15:00:00Z</cp:lastPrinted>
  <dcterms:created xsi:type="dcterms:W3CDTF">2021-04-12T17:52:00Z</dcterms:created>
  <dcterms:modified xsi:type="dcterms:W3CDTF">2021-04-12T17:52:00Z</dcterms:modified>
</cp:coreProperties>
</file>